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69"/>
        <w:ind w:left="2585" w:right="2595"/>
        <w:jc w:val="center"/>
        <w:rPr>
          <w:rFonts w:ascii="Dotum" w:eastAsia="Dotum" w:hint="eastAsia"/>
        </w:rPr>
      </w:pPr>
      <w:r>
        <w:rPr>
          <w:rFonts w:ascii="Dotum" w:eastAsia="Dotum" w:hint="eastAsia"/>
        </w:rPr>
        <w:t>프랑스의</w:t>
      </w:r>
      <w:r>
        <w:rPr>
          <w:rFonts w:ascii="Dotum" w:eastAsia="Dotum" w:hint="eastAsia"/>
          <w:spacing w:val="71"/>
        </w:rPr>
        <w:t> </w:t>
      </w:r>
      <w:r>
        <w:rPr>
          <w:rFonts w:ascii="Dotum" w:eastAsia="Dotum" w:hint="eastAsia"/>
        </w:rPr>
        <w:t>패키징</w:t>
      </w:r>
      <w:r>
        <w:rPr>
          <w:rFonts w:ascii="Dotum" w:eastAsia="Dotum" w:hint="eastAsia"/>
          <w:spacing w:val="71"/>
        </w:rPr>
        <w:t> </w:t>
      </w:r>
      <w:r>
        <w:rPr>
          <w:rFonts w:ascii="Dotum" w:eastAsia="Dotum" w:hint="eastAsia"/>
        </w:rPr>
        <w:t>재활용</w:t>
      </w:r>
      <w:r>
        <w:rPr>
          <w:rFonts w:ascii="Dotum" w:eastAsia="Dotum" w:hint="eastAsia"/>
          <w:spacing w:val="71"/>
        </w:rPr>
        <w:t> </w:t>
      </w:r>
      <w:r>
        <w:rPr>
          <w:rFonts w:ascii="Dotum" w:eastAsia="Dotum" w:hint="eastAsia"/>
          <w:spacing w:val="5"/>
        </w:rPr>
        <w:t>가이드라인</w:t>
      </w: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</w:rPr>
      </w:pPr>
    </w:p>
    <w:p>
      <w:pPr>
        <w:pStyle w:val="BodyText"/>
        <w:rPr>
          <w:rFonts w:ascii="Dotum"/>
          <w:sz w:val="19"/>
        </w:rPr>
      </w:pPr>
    </w:p>
    <w:p>
      <w:pPr>
        <w:pStyle w:val="BodyText"/>
        <w:spacing w:line="300" w:lineRule="auto"/>
        <w:ind w:left="117" w:right="114"/>
        <w:jc w:val="both"/>
      </w:pPr>
      <w:r>
        <w:rPr/>
        <w:t>프랑스에서는 패키징의 재활용성을 높이도록 하는 비교적 많은 홍보물이 </w:t>
      </w:r>
      <w:r>
        <w:rPr/>
        <w:t>에코-앙 발라즈, 플라스틱 분과기구인 발로르플라스트, 플라스틱 성형업계 협회인 Elipso 등에서 발간하고 있다. 금속캔, 유리병, 판지, 플라스틱 등 여러 재질별로 재활용 성을 평가하는 가이드라인이 &lt;국립 측정시험 실험원&gt;(Laboratoire national de métrologie et d'essais)에서 2008년에 개정판으로 출시하였다. 이 가이드라인은 대상이 되는 패키징에 대하여 재질 부문과 구조 부문으로 나누어서 각 부문마다 평가대상이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항목들을</w:t>
      </w:r>
      <w:r>
        <w:rPr>
          <w:spacing w:val="40"/>
        </w:rPr>
        <w:t> </w:t>
      </w:r>
      <w:r>
        <w:rPr/>
        <w:t>열거하고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항목에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적합성을</w:t>
      </w:r>
      <w:r>
        <w:rPr>
          <w:spacing w:val="40"/>
        </w:rPr>
        <w:t> </w:t>
      </w:r>
      <w:r>
        <w:rPr/>
        <w:t>4등급으 로</w:t>
      </w:r>
      <w:r>
        <w:rPr>
          <w:spacing w:val="40"/>
        </w:rPr>
        <w:t> </w:t>
      </w:r>
      <w:r>
        <w:rPr/>
        <w:t>점수를</w:t>
      </w:r>
      <w:r>
        <w:rPr>
          <w:spacing w:val="40"/>
        </w:rPr>
        <w:t> </w:t>
      </w:r>
      <w:r>
        <w:rPr/>
        <w:t>매기고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즉,</w:t>
      </w:r>
      <w:r>
        <w:rPr>
          <w:spacing w:val="40"/>
        </w:rPr>
        <w:t> </w:t>
      </w:r>
      <w:r>
        <w:rPr/>
        <w:t>괜찮은</w:t>
      </w:r>
      <w:r>
        <w:rPr>
          <w:spacing w:val="40"/>
        </w:rPr>
        <w:t> </w:t>
      </w:r>
      <w:r>
        <w:rPr/>
        <w:t>사항들,</w:t>
      </w:r>
      <w:r>
        <w:rPr>
          <w:spacing w:val="40"/>
        </w:rPr>
        <w:t> </w:t>
      </w:r>
      <w:r>
        <w:rPr/>
        <w:t>좋지</w:t>
      </w:r>
      <w:r>
        <w:rPr>
          <w:spacing w:val="40"/>
        </w:rPr>
        <w:t> </w:t>
      </w:r>
      <w:r>
        <w:rPr/>
        <w:t>않은</w:t>
      </w:r>
      <w:r>
        <w:rPr>
          <w:spacing w:val="40"/>
        </w:rPr>
        <w:t> </w:t>
      </w:r>
      <w:r>
        <w:rPr/>
        <w:t>사항들을</w:t>
      </w:r>
      <w:r>
        <w:rPr>
          <w:spacing w:val="40"/>
        </w:rPr>
        <w:t> </w:t>
      </w:r>
      <w:r>
        <w:rPr/>
        <w:t>혼합하여</w:t>
      </w:r>
      <w:r>
        <w:rPr>
          <w:spacing w:val="40"/>
        </w:rPr>
        <w:t> </w:t>
      </w:r>
      <w:r>
        <w:rPr/>
        <w:t>열거하 고 각각에 대해 몇 등급인지를 표시해 놓은 가이드라인이어서 다소 체계적이지 못하지만, 패키징 재질별로 모두 공신력 있는 국가기관에서 만든 가이드라인이 있 다는 점에서는 중요한 자료이다.</w:t>
      </w:r>
    </w:p>
    <w:p>
      <w:pPr>
        <w:pStyle w:val="BodyText"/>
        <w:spacing w:line="300" w:lineRule="auto" w:before="184"/>
        <w:ind w:left="117" w:right="115"/>
        <w:jc w:val="both"/>
      </w:pPr>
      <w:r>
        <w:rPr/>
        <w:t>재질별 담당 협회에서 플라스틱과 판지(carton papier) 두 재질에 대한 가이드라 인과 관련된 DB를 구축하고 있다. 각각 플라스틱 재활용 기술위원회(COTREP)와 판지 패키징 재활용성 평가위원회(CEREC)가 재활용 패키징의 설계 기준을 알 수 있는 데이터들을 공시하고 있다. 이 데이터는 “일반 의견”과 “기술적 의견”으로 나누어지며, 일반 의견은 일반적인 가이드라인이라고 할 수 있는 문서들로서 </w:t>
      </w:r>
      <w:r>
        <w:rPr/>
        <w:t>예를 들어 “PET흐름에 PETG 라벨과 슬리브가 미치는 영향”과 같이 하나의 주제에 대 하여 문서가 하나씩 되어 있다. 이런 문서들을 통합하여 가이드라인을 정리하고</w:t>
      </w:r>
      <w:r>
        <w:rPr>
          <w:spacing w:val="40"/>
        </w:rPr>
        <w:t> </w:t>
      </w:r>
      <w:r>
        <w:rPr>
          <w:spacing w:val="-4"/>
        </w:rPr>
        <w:t>있다.</w:t>
      </w:r>
    </w:p>
    <w:p>
      <w:pPr>
        <w:pStyle w:val="BodyText"/>
        <w:spacing w:line="300" w:lineRule="auto" w:before="188"/>
        <w:ind w:left="117" w:right="115"/>
        <w:jc w:val="both"/>
      </w:pPr>
      <w:r>
        <w:rPr/>
        <w:t>기술적 의견은 업계에서 실제로 적용되거나 적용 예정인 패키징에 대하여 </w:t>
      </w:r>
      <w:r>
        <w:rPr/>
        <w:t>평가한 문서들을 모아놓은 것으로서 평가사례를 제시함으로써 간접적으로 평가기준을 제 시한다고 할 수 있다. 플라스틱 업계에서 나온 일반 의견들을 모아서 가이드라인 으로 정리하면 </w:t>
      </w:r>
      <w:r>
        <w:rPr>
          <w:rFonts w:ascii="Dotum" w:eastAsia="Dotum" w:hint="eastAsia"/>
          <w:spacing w:val="12"/>
        </w:rPr>
        <w:t>【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11"/>
        </w:rPr>
        <w:t> 3-</w:t>
      </w:r>
      <w:r>
        <w:rPr>
          <w:rFonts w:ascii="Dotum" w:eastAsia="Dotum" w:hint="eastAsia"/>
          <w:spacing w:val="12"/>
        </w:rPr>
        <w:t>11】</w:t>
      </w:r>
      <w:r>
        <w:rPr/>
        <w:t>과 같다.</w:t>
      </w:r>
    </w:p>
    <w:p>
      <w:pPr>
        <w:pStyle w:val="BodyText"/>
        <w:spacing w:line="300" w:lineRule="auto" w:before="195"/>
        <w:ind w:left="117" w:right="114"/>
        <w:jc w:val="both"/>
      </w:pPr>
      <w:r>
        <w:rPr/>
        <w:t>프랑스에서는</w:t>
      </w:r>
      <w:r>
        <w:rPr>
          <w:spacing w:val="80"/>
        </w:rPr>
        <w:t> </w:t>
      </w:r>
      <w:r>
        <w:rPr/>
        <w:t>플라스틱</w:t>
      </w:r>
      <w:r>
        <w:rPr>
          <w:spacing w:val="80"/>
        </w:rPr>
        <w:t> </w:t>
      </w:r>
      <w:r>
        <w:rPr/>
        <w:t>패키징</w:t>
      </w:r>
      <w:r>
        <w:rPr>
          <w:spacing w:val="80"/>
        </w:rPr>
        <w:t> </w:t>
      </w:r>
      <w:r>
        <w:rPr/>
        <w:t>용기의</w:t>
      </w:r>
      <w:r>
        <w:rPr>
          <w:spacing w:val="80"/>
        </w:rPr>
        <w:t> </w:t>
      </w:r>
      <w:r>
        <w:rPr/>
        <w:t>선별이</w:t>
      </w:r>
      <w:r>
        <w:rPr>
          <w:spacing w:val="80"/>
        </w:rPr>
        <w:t> </w:t>
      </w:r>
      <w:r>
        <w:rPr/>
        <w:t>HDPE/PP,</w:t>
      </w:r>
      <w:r>
        <w:rPr>
          <w:spacing w:val="80"/>
        </w:rPr>
        <w:t> </w:t>
      </w:r>
      <w:r>
        <w:rPr/>
        <w:t>투명</w:t>
      </w:r>
      <w:r>
        <w:rPr>
          <w:spacing w:val="80"/>
        </w:rPr>
        <w:t> </w:t>
      </w:r>
      <w:r>
        <w:rPr/>
        <w:t>PET,</w:t>
      </w:r>
      <w:r>
        <w:rPr>
          <w:spacing w:val="40"/>
        </w:rPr>
        <w:t> </w:t>
      </w:r>
      <w:r>
        <w:rPr/>
        <w:t>짙은</w:t>
      </w:r>
      <w:r>
        <w:rPr>
          <w:spacing w:val="80"/>
        </w:rPr>
        <w:t> </w:t>
      </w:r>
      <w:r>
        <w:rPr/>
        <w:t>색 PET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세</w:t>
      </w:r>
      <w:r>
        <w:rPr>
          <w:spacing w:val="40"/>
        </w:rPr>
        <w:t> </w:t>
      </w:r>
      <w:r>
        <w:rPr/>
        <w:t>라인(흐름</w:t>
      </w:r>
      <w:r>
        <w:rPr>
          <w:spacing w:val="40"/>
        </w:rPr>
        <w:t> </w:t>
      </w:r>
      <w:r>
        <w:rPr/>
        <w:t>flu×)으로</w:t>
      </w:r>
      <w:r>
        <w:rPr>
          <w:spacing w:val="40"/>
        </w:rPr>
        <w:t> </w:t>
      </w:r>
      <w:r>
        <w:rPr/>
        <w:t>나누어진다.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세</w:t>
      </w:r>
      <w:r>
        <w:rPr>
          <w:spacing w:val="40"/>
        </w:rPr>
        <w:t> </w:t>
      </w:r>
      <w:r>
        <w:rPr/>
        <w:t>라인별로</w:t>
      </w:r>
      <w:r>
        <w:rPr>
          <w:spacing w:val="40"/>
        </w:rPr>
        <w:t> </w:t>
      </w:r>
      <w:r>
        <w:rPr/>
        <w:t>적합,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적합, 대체 요망, 사용불가 등 재활용에 적합하거나 방해가 되는 요소들을 구분하였다. 판지에 대해서는 일반적 기준을 추출할 수 있는 가이드라인은 아직 나오지 않고</w:t>
      </w:r>
      <w:r>
        <w:rPr>
          <w:spacing w:val="40"/>
        </w:rPr>
        <w:t> </w:t>
      </w:r>
      <w:r>
        <w:rPr>
          <w:spacing w:val="-4"/>
        </w:rPr>
        <w:t>있다.</w:t>
      </w:r>
    </w:p>
    <w:p>
      <w:pPr>
        <w:spacing w:after="0" w:line="300" w:lineRule="auto"/>
        <w:jc w:val="both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832"/>
        <w:rPr>
          <w:rFonts w:ascii="Dotum" w:eastAsia="Dotum" w:hint="eastAsia"/>
        </w:rPr>
      </w:pPr>
      <w:r>
        <w:rPr>
          <w:rFonts w:ascii="Dotum" w:eastAsia="Dotum" w:hint="eastAsia"/>
          <w:spacing w:val="12"/>
        </w:rPr>
        <w:t>【</w:t>
      </w:r>
      <w:r>
        <w:rPr>
          <w:rFonts w:ascii="Dotum" w:eastAsia="Dotum" w:hint="eastAsia"/>
        </w:rPr>
        <w:t>표</w:t>
      </w:r>
      <w:r>
        <w:rPr>
          <w:rFonts w:ascii="Dotum" w:eastAsia="Dotum" w:hint="eastAsia"/>
          <w:spacing w:val="57"/>
        </w:rPr>
        <w:t> </w:t>
      </w:r>
      <w:r>
        <w:rPr>
          <w:rFonts w:ascii="Dotum" w:eastAsia="Dotum" w:hint="eastAsia"/>
          <w:spacing w:val="11"/>
        </w:rPr>
        <w:t>3-</w:t>
      </w:r>
      <w:r>
        <w:rPr>
          <w:rFonts w:ascii="Dotum" w:eastAsia="Dotum" w:hint="eastAsia"/>
          <w:spacing w:val="12"/>
        </w:rPr>
        <w:t>11</w:t>
      </w:r>
      <w:r>
        <w:rPr>
          <w:rFonts w:ascii="Dotum" w:eastAsia="Dotum" w:hint="eastAsia"/>
          <w:spacing w:val="12"/>
        </w:rPr>
        <w:t>】</w:t>
      </w:r>
      <w:r>
        <w:rPr>
          <w:rFonts w:ascii="Dotum" w:eastAsia="Dotum" w:hint="eastAsia"/>
        </w:rPr>
        <w:t>프랑스</w:t>
      </w:r>
      <w:r>
        <w:rPr>
          <w:rFonts w:ascii="Dotum" w:eastAsia="Dotum" w:hint="eastAsia"/>
          <w:spacing w:val="57"/>
        </w:rPr>
        <w:t> </w:t>
      </w:r>
      <w:r>
        <w:rPr>
          <w:rFonts w:ascii="Dotum" w:eastAsia="Dotum" w:hint="eastAsia"/>
          <w:spacing w:val="10"/>
        </w:rPr>
        <w:t>COTREP의</w:t>
      </w:r>
      <w:r>
        <w:rPr>
          <w:rFonts w:ascii="Dotum" w:eastAsia="Dotum" w:hint="eastAsia"/>
          <w:spacing w:val="58"/>
        </w:rPr>
        <w:t> </w:t>
      </w:r>
      <w:r>
        <w:rPr>
          <w:rFonts w:ascii="Dotum" w:eastAsia="Dotum" w:hint="eastAsia"/>
        </w:rPr>
        <w:t>플라스틱</w:t>
      </w:r>
      <w:r>
        <w:rPr>
          <w:rFonts w:ascii="Dotum" w:eastAsia="Dotum" w:hint="eastAsia"/>
          <w:spacing w:val="57"/>
        </w:rPr>
        <w:t> </w:t>
      </w:r>
      <w:r>
        <w:rPr>
          <w:rFonts w:ascii="Dotum" w:eastAsia="Dotum" w:hint="eastAsia"/>
        </w:rPr>
        <w:t>패키징</w:t>
      </w:r>
      <w:r>
        <w:rPr>
          <w:rFonts w:ascii="Dotum" w:eastAsia="Dotum" w:hint="eastAsia"/>
          <w:spacing w:val="57"/>
        </w:rPr>
        <w:t> </w:t>
      </w:r>
      <w:r>
        <w:rPr>
          <w:rFonts w:ascii="Dotum" w:eastAsia="Dotum" w:hint="eastAsia"/>
        </w:rPr>
        <w:t>용기</w:t>
      </w:r>
      <w:r>
        <w:rPr>
          <w:rFonts w:ascii="Dotum" w:eastAsia="Dotum" w:hint="eastAsia"/>
          <w:spacing w:val="58"/>
        </w:rPr>
        <w:t> </w:t>
      </w:r>
      <w:r>
        <w:rPr>
          <w:rFonts w:ascii="Dotum" w:eastAsia="Dotum" w:hint="eastAsia"/>
          <w:spacing w:val="7"/>
        </w:rPr>
        <w:t>가이드라인</w:t>
      </w:r>
    </w:p>
    <w:p>
      <w:pPr>
        <w:pStyle w:val="BodyText"/>
        <w:spacing w:before="9"/>
        <w:rPr>
          <w:rFonts w:ascii="Dotum"/>
          <w:sz w:val="23"/>
        </w:rPr>
      </w:pPr>
      <w:r>
        <w:rPr/>
        <w:pict>
          <v:group style="position:absolute;margin-left:79.9375pt;margin-top:16.417336pt;width:435.2pt;height:286.650pt;mso-position-horizontal-relative:page;mso-position-vertical-relative:paragraph;z-index:-15728640;mso-wrap-distance-left:0;mso-wrap-distance-right:0" id="docshapegroup1" coordorigin="1599,328" coordsize="8704,5733">
            <v:line style="position:absolute" from="1610,339" to="1610,6050" stroked="true" strokeweight="1.079pt" strokecolor="#000000">
              <v:stroke dashstyle="solid"/>
            </v:line>
            <v:shape style="position:absolute;left:4785;top:339;width:3788;height:5455" id="docshape2" coordorigin="4785,339" coordsize="3788,5455" path="m4785,339l4785,5793m6510,339l6510,5793m8573,339l8573,5793e" filled="false" stroked="true" strokeweight=".36pt" strokecolor="#000000">
              <v:path arrowok="t"/>
              <v:stroke dashstyle="solid"/>
            </v:shape>
            <v:shape style="position:absolute;left:1599;top:339;width:8703;height:5711" id="docshape3" coordorigin="1600,339" coordsize="8703,5711" path="m10290,339l10290,6050m1600,339l10302,339e" filled="false" stroked="true" strokeweight="1.079pt" strokecolor="#000000">
              <v:path arrowok="t"/>
              <v:stroke dashstyle="solid"/>
            </v:shape>
            <v:shape style="position:absolute;left:1599;top:835;width:8703;height:4958" id="docshape4" coordorigin="1600,835" coordsize="8703,4958" path="m2545,835l2545,5793m1600,835l10302,835m2543,1092l10302,1092m2543,1348l10302,1348m2543,1605l10302,1605m2543,1861l10302,1861m1600,2118l10302,2118m2543,2374l10302,2374m1600,2669l10302,2669m2543,2926l10302,2926m2543,3182l10302,3182m2543,3758l10302,3758m2543,4014l10302,4014m2543,4511l10302,4511m1600,4767l10302,4767m2543,5024l10302,5024m2543,5280l10302,5280m2543,5537l10302,5537m1600,5793l10302,5793e" filled="false" stroked="true" strokeweight=".36pt" strokecolor="#000000">
              <v:path arrowok="t"/>
              <v:stroke dashstyle="solid"/>
            </v:shape>
            <v:line style="position:absolute" from="1600,6050" to="10302,6050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897;top:486;width:1536;height:587" type="#_x0000_t202" id="docshape5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구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분</w:t>
                    </w:r>
                  </w:p>
                  <w:p>
                    <w:pPr>
                      <w:spacing w:line="239" w:lineRule="exact" w:before="119"/>
                      <w:ind w:left="16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나일론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다층재질</w:t>
                    </w:r>
                  </w:p>
                </w:txbxContent>
              </v:textbox>
              <w10:wrap type="none"/>
            </v:shape>
            <v:shape style="position:absolute;left:4830;top:367;width:1653;height:708" type="#_x0000_t202" id="docshape6" filled="false" stroked="false">
              <v:textbox inset="0,0,0,0">
                <w:txbxContent>
                  <w:p>
                    <w:pPr>
                      <w:spacing w:line="219" w:lineRule="exact" w:before="0"/>
                      <w:ind w:left="75" w:right="94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무색투명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PET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병</w:t>
                    </w:r>
                  </w:p>
                  <w:p>
                    <w:pPr>
                      <w:spacing w:line="248" w:lineRule="exact" w:before="0"/>
                      <w:ind w:left="-1" w:right="1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스카이블루</w:t>
                    </w:r>
                    <w:r>
                      <w:rPr>
                        <w:rFonts w:ascii="Dotum" w:eastAsia="Dotum" w:hint="eastAsia"/>
                        <w:spacing w:val="2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포함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  <w:p>
                    <w:pPr>
                      <w:spacing w:line="240" w:lineRule="exact" w:before="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</w:txbxContent>
              </v:textbox>
              <w10:wrap type="none"/>
            </v:shape>
            <v:shape style="position:absolute;left:7009;top:486;width:1083;height:211" type="#_x0000_t202" id="docshape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유색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PET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병</w:t>
                    </w:r>
                  </w:p>
                </w:txbxContent>
              </v:textbox>
              <w10:wrap type="none"/>
            </v:shape>
            <v:shape style="position:absolute;left:8820;top:486;width:1244;height:211" type="#_x0000_t202" id="docshape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HDPE/PP</w:t>
                    </w:r>
                    <w:r>
                      <w:rPr>
                        <w:rFonts w:ascii="Book Antiqua" w:eastAsia="Book Antiqua"/>
                        <w:spacing w:val="3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병</w:t>
                    </w:r>
                  </w:p>
                </w:txbxContent>
              </v:textbox>
              <w10:wrap type="none"/>
            </v:shape>
            <v:shape style="position:absolute;left:7462;top:874;width:177;height:199" type="#_x0000_t202" id="docshape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1777;top:1119;width:2886;height:2045" type="#_x0000_t202" id="docshape10" filled="false" stroked="false">
              <v:textbox inset="0,0,0,0">
                <w:txbxContent>
                  <w:p>
                    <w:pPr>
                      <w:tabs>
                        <w:tab w:pos="1566" w:val="left" w:leader="none"/>
                      </w:tabs>
                      <w:spacing w:line="153" w:lineRule="auto" w:before="0"/>
                      <w:ind w:left="9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6"/>
                        <w:w w:val="95"/>
                        <w:position w:val="-12"/>
                        <w:sz w:val="20"/>
                      </w:rPr>
                      <w:t>몸체</w:t>
                    </w:r>
                    <w:r>
                      <w:rPr>
                        <w:rFonts w:ascii="Dotum" w:eastAsia="Dotum" w:hint="eastAsia"/>
                        <w:spacing w:val="-35"/>
                        <w:w w:val="95"/>
                        <w:position w:val="-12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position w:val="-12"/>
                        <w:sz w:val="20"/>
                      </w:rPr>
                      <w:t>및</w:t>
                    </w:r>
                    <w:r>
                      <w:rPr>
                        <w:rFonts w:ascii="Dotum" w:eastAsia="Dotum" w:hint="eastAsia"/>
                        <w:position w:val="-12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PP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혼입</w:t>
                    </w:r>
                  </w:p>
                  <w:p>
                    <w:pPr>
                      <w:tabs>
                        <w:tab w:pos="1489" w:val="left" w:leader="none"/>
                      </w:tabs>
                      <w:spacing w:line="158" w:lineRule="auto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position w:val="-11"/>
                        <w:sz w:val="20"/>
                      </w:rPr>
                      <w:t>첨가물</w:t>
                    </w:r>
                    <w:r>
                      <w:rPr>
                        <w:rFonts w:ascii="Dotum" w:eastAsia="Dotum" w:hint="eastAsia"/>
                        <w:position w:val="-11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PLA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혼입</w:t>
                    </w:r>
                  </w:p>
                  <w:p>
                    <w:pPr>
                      <w:spacing w:line="197" w:lineRule="exact" w:before="0"/>
                      <w:ind w:left="1038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불투명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마스터배치</w:t>
                    </w:r>
                  </w:p>
                  <w:p>
                    <w:pPr>
                      <w:spacing w:before="0"/>
                      <w:ind w:left="902" w:right="13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바이오</w:t>
                    </w:r>
                    <w:r>
                      <w:rPr>
                        <w:rFonts w:ascii="Book Antiqua" w:eastAsia="Book Antiqua"/>
                        <w:sz w:val="20"/>
                      </w:rPr>
                      <w:t>PET,</w:t>
                    </w:r>
                    <w:r>
                      <w:rPr>
                        <w:rFonts w:ascii="Book Antiqua" w:eastAsia="Book Antiqua"/>
                        <w:spacing w:val="42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바이오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PE</w:t>
                    </w:r>
                  </w:p>
                  <w:p>
                    <w:pPr>
                      <w:tabs>
                        <w:tab w:pos="1487" w:val="left" w:leader="none"/>
                      </w:tabs>
                      <w:spacing w:line="276" w:lineRule="exact" w:before="0"/>
                      <w:ind w:left="10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position w:val="-2"/>
                        <w:sz w:val="20"/>
                      </w:rPr>
                      <w:t>몸체</w:t>
                    </w:r>
                    <w:r>
                      <w:rPr>
                        <w:rFonts w:ascii="Dotum" w:eastAsia="Dotum" w:hint="eastAsia"/>
                        <w:position w:val="-2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적색계통</w:t>
                    </w:r>
                  </w:p>
                  <w:p>
                    <w:pPr>
                      <w:tabs>
                        <w:tab w:pos="1587" w:val="left" w:leader="none"/>
                      </w:tabs>
                      <w:spacing w:line="256" w:lineRule="exact" w:before="0"/>
                      <w:ind w:left="10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position w:val="1"/>
                        <w:sz w:val="20"/>
                      </w:rPr>
                      <w:t>색상</w:t>
                    </w:r>
                    <w:r>
                      <w:rPr>
                        <w:rFonts w:ascii="Dotum" w:eastAsia="Dotum" w:hint="eastAsia"/>
                        <w:position w:val="1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신색상</w:t>
                    </w:r>
                  </w:p>
                  <w:p>
                    <w:pPr>
                      <w:spacing w:before="0"/>
                      <w:ind w:left="988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증착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종이</w:t>
                    </w:r>
                  </w:p>
                  <w:p>
                    <w:pPr>
                      <w:spacing w:line="232" w:lineRule="exact" w:before="0"/>
                      <w:ind w:left="902" w:right="13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LDPE</w:t>
                    </w:r>
                  </w:p>
                </w:txbxContent>
              </v:textbox>
              <w10:wrap type="none"/>
            </v:shape>
            <v:shape style="position:absolute;left:4881;top:1385;width:1552;height:4388" type="#_x0000_t202" id="docshape1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line="247" w:lineRule="auto" w:before="0"/>
                      <w:ind w:left="688" w:right="706" w:hanging="1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spacing w:val="-10"/>
                        <w:w w:val="95"/>
                        <w:sz w:val="20"/>
                      </w:rPr>
                      <w:t>× </w:t>
                    </w:r>
                    <w:r>
                      <w:rPr>
                        <w:rFonts w:ascii="Book Antiqua" w:hAnsi="Book Antiqua"/>
                        <w:spacing w:val="-10"/>
                        <w:w w:val="95"/>
                        <w:sz w:val="20"/>
                      </w:rPr>
                      <w:t>O</w:t>
                    </w:r>
                  </w:p>
                  <w:p>
                    <w:pPr>
                      <w:spacing w:line="249" w:lineRule="exact" w:before="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before="19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line="247" w:lineRule="auto" w:before="21"/>
                      <w:ind w:left="688" w:right="706" w:hanging="1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spacing w:val="-10"/>
                        <w:w w:val="95"/>
                        <w:sz w:val="20"/>
                      </w:rPr>
                      <w:t>× </w:t>
                    </w:r>
                    <w:r>
                      <w:rPr>
                        <w:rFonts w:ascii="Book Antiqua" w:hAnsi="Book Antiqua"/>
                        <w:spacing w:val="-10"/>
                        <w:w w:val="95"/>
                        <w:sz w:val="20"/>
                      </w:rPr>
                      <w:t>O</w:t>
                    </w:r>
                  </w:p>
                  <w:p>
                    <w:pPr>
                      <w:spacing w:line="249" w:lineRule="exact" w:before="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line="247" w:lineRule="auto" w:before="62"/>
                      <w:ind w:left="13" w:right="31" w:firstLine="0"/>
                      <w:jc w:val="center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◐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(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사용전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분리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) </w:t>
                    </w:r>
                    <w:r>
                      <w:rPr>
                        <w:rFonts w:ascii="Book Antiqua" w:hAnsi="Book Antiqua" w:eastAsia="Book Antiqua"/>
                        <w:spacing w:val="-10"/>
                        <w:sz w:val="20"/>
                      </w:rPr>
                      <w:t>O</w:t>
                    </w:r>
                  </w:p>
                  <w:p>
                    <w:pPr>
                      <w:spacing w:before="113"/>
                      <w:ind w:left="13" w:right="31" w:firstLine="0"/>
                      <w:jc w:val="center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황변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)</w:t>
                    </w:r>
                  </w:p>
                  <w:p>
                    <w:pPr>
                      <w:spacing w:before="120"/>
                      <w:ind w:left="13" w:right="31" w:firstLine="0"/>
                      <w:jc w:val="center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황변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)</w:t>
                    </w:r>
                  </w:p>
                  <w:p>
                    <w:pPr>
                      <w:spacing w:line="246" w:lineRule="exact" w:before="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line="271" w:lineRule="exact" w:before="0"/>
                      <w:ind w:left="0" w:right="16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57" w:lineRule="exact" w:before="0"/>
                      <w:ind w:left="0" w:right="16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34" w:lineRule="exact" w:before="0"/>
                      <w:ind w:left="0" w:right="16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</w:txbxContent>
              </v:textbox>
              <w10:wrap type="none"/>
            </v:shape>
            <v:shape style="position:absolute;left:6639;top:1385;width:1823;height:2611" type="#_x0000_t202" id="docshape1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O</w:t>
                    </w:r>
                  </w:p>
                  <w:p>
                    <w:pPr>
                      <w:spacing w:line="247" w:lineRule="auto" w:before="0"/>
                      <w:ind w:left="-1" w:right="18" w:firstLine="0"/>
                      <w:jc w:val="center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산화티타늄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운모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) </w:t>
                    </w:r>
                    <w:r>
                      <w:rPr>
                        <w:rFonts w:ascii="Book Antiqua" w:hAnsi="Book Antiqua" w:eastAsia="Book Antiqua"/>
                        <w:spacing w:val="-10"/>
                        <w:sz w:val="20"/>
                      </w:rPr>
                      <w:t>O</w:t>
                    </w:r>
                  </w:p>
                  <w:p>
                    <w:pPr>
                      <w:spacing w:line="249" w:lineRule="exact" w:before="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before="19"/>
                      <w:ind w:left="148" w:right="166" w:firstLine="0"/>
                      <w:jc w:val="center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비적색계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)</w:t>
                    </w:r>
                  </w:p>
                  <w:p>
                    <w:pPr>
                      <w:spacing w:line="247" w:lineRule="auto" w:before="21"/>
                      <w:ind w:left="822" w:right="841" w:hanging="1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spacing w:val="-10"/>
                        <w:w w:val="95"/>
                        <w:sz w:val="20"/>
                      </w:rPr>
                      <w:t>× </w:t>
                    </w:r>
                    <w:r>
                      <w:rPr>
                        <w:rFonts w:ascii="Book Antiqua" w:hAnsi="Book Antiqua"/>
                        <w:spacing w:val="-10"/>
                        <w:w w:val="95"/>
                        <w:sz w:val="20"/>
                      </w:rPr>
                      <w:t>O</w:t>
                    </w:r>
                  </w:p>
                  <w:p>
                    <w:pPr>
                      <w:spacing w:line="249" w:lineRule="exact" w:before="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line="247" w:lineRule="auto" w:before="58"/>
                      <w:ind w:left="148" w:right="168" w:firstLine="0"/>
                      <w:jc w:val="center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◐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(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사용전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분리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) </w:t>
                    </w:r>
                    <w:r>
                      <w:rPr>
                        <w:rFonts w:ascii="Book Antiqua" w:hAnsi="Book Antiqua" w:eastAsia="Book Antiqua"/>
                        <w:spacing w:val="-10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8971;top:1131;width:941;height:2033" type="#_x0000_t202" id="docshape1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sz w:val="20"/>
                      </w:rPr>
                      <w:t>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hAnsi="Book Antiqua"/>
                        <w:spacing w:val="-2"/>
                        <w:sz w:val="20"/>
                      </w:rPr>
                      <w:t>(&lt;10%)</w:t>
                    </w:r>
                  </w:p>
                  <w:p>
                    <w:pPr>
                      <w:spacing w:line="494" w:lineRule="auto" w:before="5"/>
                      <w:ind w:left="381" w:right="400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  <w:r>
                      <w:rPr>
                        <w:rFonts w:ascii="Book Antiqua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O</w:t>
                    </w:r>
                  </w:p>
                  <w:p>
                    <w:pPr>
                      <w:spacing w:line="240" w:lineRule="auto" w:before="1"/>
                      <w:rPr>
                        <w:rFonts w:ascii="Book Antiqua"/>
                        <w:sz w:val="23"/>
                      </w:rPr>
                    </w:pPr>
                  </w:p>
                  <w:p>
                    <w:pPr>
                      <w:spacing w:line="247" w:lineRule="auto" w:before="1"/>
                      <w:ind w:left="381" w:right="400" w:hanging="1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spacing w:val="-10"/>
                        <w:w w:val="95"/>
                        <w:sz w:val="20"/>
                      </w:rPr>
                      <w:t>× </w:t>
                    </w:r>
                    <w:r>
                      <w:rPr>
                        <w:rFonts w:ascii="Book Antiqua" w:hAnsi="Book Antiqua"/>
                        <w:spacing w:val="-10"/>
                        <w:w w:val="95"/>
                        <w:sz w:val="20"/>
                      </w:rPr>
                      <w:t>O</w:t>
                    </w:r>
                  </w:p>
                </w:txbxContent>
              </v:textbox>
              <w10:wrap type="none"/>
            </v:shape>
            <v:shape style="position:absolute;left:3461;top:3380;width:427;height:199" type="#_x0000_t202" id="docshape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PVC</w:t>
                    </w:r>
                  </w:p>
                </w:txbxContent>
              </v:textbox>
              <w10:wrap type="none"/>
            </v:shape>
            <v:shape style="position:absolute;left:9369;top:3380;width:143;height:199" type="#_x0000_t202" id="docshape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</w:txbxContent>
              </v:textbox>
              <w10:wrap type="none"/>
            </v:shape>
            <v:shape style="position:absolute;left:1878;top:3617;width:419;height:210" type="#_x0000_t202" id="docshape1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3283;top:3797;width:781;height:199" type="#_x0000_t202" id="docshape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PP/OPP</w:t>
                    </w:r>
                  </w:p>
                </w:txbxContent>
              </v:textbox>
              <w10:wrap type="none"/>
            </v:shape>
            <v:shape style="position:absolute;left:1777;top:5058;width:620;height:450" type="#_x0000_t202" id="docshape18" filled="false" stroked="false">
              <v:textbox inset="0,0,0,0">
                <w:txbxContent>
                  <w:p>
                    <w:pPr>
                      <w:spacing w:line="219" w:lineRule="exact" w:before="0"/>
                      <w:ind w:left="38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/</w:t>
                    </w:r>
                  </w:p>
                  <w:p>
                    <w:pPr>
                      <w:spacing w:line="23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3015;top:4173;width:1318;height:1599" type="#_x0000_t202" id="docshape19" filled="false" stroked="false">
              <v:textbox inset="0,0,0,0">
                <w:txbxContent>
                  <w:p>
                    <w:pPr>
                      <w:spacing w:line="216" w:lineRule="exact" w:before="0"/>
                      <w:ind w:left="379" w:right="395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PS</w:t>
                    </w:r>
                  </w:p>
                  <w:p>
                    <w:pPr>
                      <w:spacing w:before="128"/>
                      <w:ind w:left="379" w:right="396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PETG</w:t>
                    </w:r>
                  </w:p>
                  <w:p>
                    <w:pPr>
                      <w:spacing w:line="240" w:lineRule="auto" w:before="0"/>
                      <w:ind w:left="0" w:right="18" w:firstLine="0"/>
                      <w:jc w:val="both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마개 알루미늄</w:t>
                    </w:r>
                    <w:r>
                      <w:rPr>
                        <w:rFonts w:ascii="Dotum" w:eastAsia="Dotum" w:hint="eastAsia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덮개 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철제부속펌프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유리제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부속물</w:t>
                    </w:r>
                  </w:p>
                </w:txbxContent>
              </v:textbox>
              <w10:wrap type="none"/>
            </v:shape>
            <v:shape style="position:absolute;left:7440;top:4173;width:220;height:1600" type="#_x0000_t202" id="docshape20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92" w:lineRule="exact" w:before="69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30" w:lineRule="exact" w:before="0"/>
                      <w:ind w:left="3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73"/>
                        <w:sz w:val="20"/>
                      </w:rPr>
                      <w:t>×</w:t>
                    </w:r>
                  </w:p>
                  <w:p>
                    <w:pPr>
                      <w:spacing w:line="271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5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34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</w:txbxContent>
              </v:textbox>
              <w10:wrap type="none"/>
            </v:shape>
            <v:shape style="position:absolute;left:8995;top:3797;width:895;height:696" type="#_x0000_t202" id="docshape21" filled="false" stroked="false">
              <v:textbox inset="0,0,0,0">
                <w:txbxContent>
                  <w:p>
                    <w:pPr>
                      <w:spacing w:line="206" w:lineRule="exact" w:before="0"/>
                      <w:ind w:left="0" w:right="21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O</w:t>
                    </w:r>
                  </w:p>
                  <w:p>
                    <w:pPr>
                      <w:spacing w:line="274" w:lineRule="exact" w:before="0"/>
                      <w:ind w:left="0" w:right="21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sz w:val="20"/>
                      </w:rPr>
                      <w:t>◐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hAnsi="Book Antiqua"/>
                        <w:sz w:val="20"/>
                      </w:rPr>
                      <w:t>(d</w:t>
                    </w:r>
                    <w:r>
                      <w:rPr>
                        <w:rFonts w:ascii="Book Antiqua" w:hAnsi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hAnsi="Book Antiqua"/>
                        <w:spacing w:val="-5"/>
                        <w:sz w:val="20"/>
                      </w:rPr>
                      <w:t>&gt;1)</w:t>
                    </w:r>
                  </w:p>
                </w:txbxContent>
              </v:textbox>
              <w10:wrap type="none"/>
            </v:shape>
            <v:shape style="position:absolute;left:9330;top:5061;width:220;height:456" type="#_x0000_t202" id="docshape22" filled="false" stroked="false">
              <v:textbox inset="0,0,0,0">
                <w:txbxContent>
                  <w:p>
                    <w:pPr>
                      <w:spacing w:line="222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  <w:p>
                    <w:pPr>
                      <w:spacing w:line="234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▷</w:t>
                    </w:r>
                  </w:p>
                </w:txbxContent>
              </v:textbox>
              <w10:wrap type="none"/>
            </v:shape>
            <v:shape style="position:absolute;left:1710;top:5818;width:5144;height:211" type="#_x0000_t202" id="docshape2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O</w:t>
                    </w:r>
                    <w:r>
                      <w:rPr>
                        <w:rFonts w:ascii="Book Antiqua" w:hAns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hAns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적합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◐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hAns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조건부</w:t>
                    </w:r>
                    <w:r>
                      <w:rPr>
                        <w:rFonts w:ascii="Dotum" w:hAns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적합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Lucida Sans Unicode" w:hAnsi="Lucida Sans Unicode" w:eastAsia="Lucida Sans Unicode"/>
                        <w:sz w:val="20"/>
                      </w:rPr>
                      <w:t>▷</w:t>
                    </w:r>
                    <w:r>
                      <w:rPr>
                        <w:rFonts w:ascii="Lucida Sans Unicode" w:hAnsi="Lucida Sans Unicode" w:eastAsia="Lucida Sans Unicode"/>
                        <w:spacing w:val="34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hAns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대체요망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×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hAns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4"/>
                        <w:sz w:val="20"/>
                      </w:rPr>
                      <w:t>사용불가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ulim" w:hAnsi="Gulim" w:eastAsia="Gulim" w:cs="Guli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Gulim" w:hAnsi="Gulim" w:eastAsia="Gulim" w:cs="Guli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에코순환패키징_재활용가이드라인_프랑스.hwp</dc:title>
  <dcterms:created xsi:type="dcterms:W3CDTF">2022-09-28T05:58:34Z</dcterms:created>
  <dcterms:modified xsi:type="dcterms:W3CDTF">2022-09-28T05:58:34Z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