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spacing w:before="169"/>
        <w:ind w:left="1482" w:right="1489" w:firstLine="0"/>
        <w:jc w:val="center"/>
        <w:rPr>
          <w:sz w:val="24"/>
        </w:rPr>
      </w:pPr>
      <w:r>
        <w:rPr>
          <w:sz w:val="24"/>
        </w:rPr>
        <w:t>일본의</w:t>
      </w:r>
      <w:r>
        <w:rPr>
          <w:spacing w:val="67"/>
          <w:sz w:val="24"/>
        </w:rPr>
        <w:t> </w:t>
      </w:r>
      <w:r>
        <w:rPr>
          <w:sz w:val="24"/>
        </w:rPr>
        <w:t>패키징</w:t>
      </w:r>
      <w:r>
        <w:rPr>
          <w:spacing w:val="68"/>
          <w:sz w:val="24"/>
        </w:rPr>
        <w:t> </w:t>
      </w:r>
      <w:r>
        <w:rPr>
          <w:sz w:val="24"/>
        </w:rPr>
        <w:t>재활용</w:t>
      </w:r>
      <w:r>
        <w:rPr>
          <w:spacing w:val="68"/>
          <w:sz w:val="24"/>
        </w:rPr>
        <w:t> </w:t>
      </w:r>
      <w:r>
        <w:rPr>
          <w:spacing w:val="5"/>
          <w:sz w:val="24"/>
        </w:rPr>
        <w:t>가이드라인</w:t>
      </w: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19"/>
        </w:rPr>
      </w:pPr>
    </w:p>
    <w:p>
      <w:pPr>
        <w:spacing w:line="300" w:lineRule="auto" w:before="0"/>
        <w:ind w:left="117" w:right="114" w:firstLine="0"/>
        <w:jc w:val="both"/>
        <w:rPr>
          <w:rFonts w:ascii="Gulim" w:hAnsi="Gulim" w:eastAsia="Gulim"/>
          <w:sz w:val="24"/>
        </w:rPr>
      </w:pPr>
      <w:r>
        <w:rPr>
          <w:rFonts w:ascii="Gulim" w:hAnsi="Gulim" w:eastAsia="Gulim"/>
          <w:sz w:val="24"/>
        </w:rPr>
        <w:t>일본의 경우 패키징 재질․구조 개선과 관련된 가이드라인이 존재하지는 </w:t>
      </w:r>
      <w:r>
        <w:rPr>
          <w:rFonts w:ascii="Gulim" w:hAnsi="Gulim" w:eastAsia="Gulim"/>
          <w:sz w:val="24"/>
        </w:rPr>
        <w:t>않는다. 하지만 유리병, 종이 용기, 플라스틱 용기에 대하여 재활용 업체가 지자체로부터 인도하는 재생 가능 원료에 대한 품질 가이드라인이 있으며 특히 유리병에 대해</w:t>
      </w:r>
      <w:r>
        <w:rPr>
          <w:rFonts w:ascii="Gulim" w:hAnsi="Gulim" w:eastAsia="Gulim"/>
          <w:spacing w:val="80"/>
          <w:sz w:val="24"/>
        </w:rPr>
        <w:t> </w:t>
      </w:r>
      <w:r>
        <w:rPr>
          <w:rFonts w:ascii="Gulim" w:hAnsi="Gulim" w:eastAsia="Gulim"/>
          <w:sz w:val="24"/>
        </w:rPr>
        <w:t>서는 </w:t>
      </w:r>
      <w:r>
        <w:rPr>
          <w:spacing w:val="12"/>
          <w:sz w:val="24"/>
        </w:rPr>
        <w:t>【</w:t>
      </w:r>
      <w:r>
        <w:rPr>
          <w:sz w:val="24"/>
        </w:rPr>
        <w:t>표 </w:t>
      </w:r>
      <w:r>
        <w:rPr>
          <w:spacing w:val="11"/>
          <w:sz w:val="24"/>
        </w:rPr>
        <w:t>3-</w:t>
      </w:r>
      <w:r>
        <w:rPr>
          <w:spacing w:val="12"/>
          <w:sz w:val="24"/>
        </w:rPr>
        <w:t>12】</w:t>
      </w:r>
      <w:r>
        <w:rPr>
          <w:rFonts w:ascii="Gulim" w:hAnsi="Gulim" w:eastAsia="Gulim"/>
          <w:sz w:val="24"/>
        </w:rPr>
        <w:t>와 같이 3R(Reduce, Reuse, Recycle)을 위한 자주설계 가이드 라인이 있다.</w:t>
      </w:r>
    </w:p>
    <w:p>
      <w:pPr>
        <w:spacing w:before="192"/>
        <w:ind w:left="1482" w:right="1492" w:firstLine="0"/>
        <w:jc w:val="center"/>
        <w:rPr>
          <w:sz w:val="24"/>
        </w:rPr>
      </w:pPr>
      <w:r>
        <w:rPr>
          <w:spacing w:val="12"/>
          <w:sz w:val="24"/>
        </w:rPr>
        <w:t>【</w:t>
      </w:r>
      <w:r>
        <w:rPr>
          <w:sz w:val="24"/>
        </w:rPr>
        <w:t>표</w:t>
      </w:r>
      <w:r>
        <w:rPr>
          <w:spacing w:val="47"/>
          <w:sz w:val="24"/>
        </w:rPr>
        <w:t> </w:t>
      </w:r>
      <w:r>
        <w:rPr>
          <w:spacing w:val="12"/>
          <w:sz w:val="24"/>
        </w:rPr>
        <w:t>3-12</w:t>
      </w:r>
      <w:r>
        <w:rPr>
          <w:spacing w:val="12"/>
          <w:sz w:val="24"/>
        </w:rPr>
        <w:t>】</w:t>
      </w:r>
      <w:r>
        <w:rPr>
          <w:sz w:val="24"/>
        </w:rPr>
        <w:t>유리병의</w:t>
      </w:r>
      <w:r>
        <w:rPr>
          <w:spacing w:val="48"/>
          <w:sz w:val="24"/>
        </w:rPr>
        <w:t> </w:t>
      </w:r>
      <w:r>
        <w:rPr>
          <w:sz w:val="24"/>
        </w:rPr>
        <w:t>3R을</w:t>
      </w:r>
      <w:r>
        <w:rPr>
          <w:spacing w:val="48"/>
          <w:sz w:val="24"/>
        </w:rPr>
        <w:t> </w:t>
      </w:r>
      <w:r>
        <w:rPr>
          <w:sz w:val="24"/>
        </w:rPr>
        <w:t>위한</w:t>
      </w:r>
      <w:r>
        <w:rPr>
          <w:spacing w:val="48"/>
          <w:sz w:val="24"/>
        </w:rPr>
        <w:t> </w:t>
      </w:r>
      <w:r>
        <w:rPr>
          <w:sz w:val="24"/>
        </w:rPr>
        <w:t>자주</w:t>
      </w:r>
      <w:r>
        <w:rPr>
          <w:spacing w:val="48"/>
          <w:sz w:val="24"/>
        </w:rPr>
        <w:t> </w:t>
      </w:r>
      <w:r>
        <w:rPr>
          <w:sz w:val="24"/>
        </w:rPr>
        <w:t>설계</w:t>
      </w:r>
      <w:r>
        <w:rPr>
          <w:spacing w:val="47"/>
          <w:sz w:val="24"/>
        </w:rPr>
        <w:t> </w:t>
      </w:r>
      <w:r>
        <w:rPr>
          <w:spacing w:val="5"/>
          <w:sz w:val="24"/>
        </w:rPr>
        <w:t>가이드라인</w:t>
      </w:r>
    </w:p>
    <w:p>
      <w:pPr>
        <w:pStyle w:val="BodyText"/>
        <w:spacing w:before="11"/>
        <w:rPr>
          <w:sz w:val="22"/>
        </w:rPr>
      </w:pPr>
    </w:p>
    <w:p>
      <w:pPr>
        <w:spacing w:after="0"/>
        <w:rPr>
          <w:sz w:val="22"/>
        </w:rPr>
        <w:sectPr>
          <w:type w:val="continuous"/>
          <w:pgSz w:w="11900" w:h="16820"/>
          <w:pgMar w:top="1600" w:bottom="280" w:left="1300" w:right="1300"/>
        </w:sectPr>
      </w:pPr>
    </w:p>
    <w:p>
      <w:pPr>
        <w:pStyle w:val="BodyText"/>
        <w:spacing w:line="415" w:lineRule="auto" w:before="72"/>
        <w:ind w:left="295" w:right="-7" w:firstLine="350"/>
      </w:pPr>
      <w:r>
        <w:rPr/>
        <w:pict>
          <v:group style="position:absolute;margin-left:71.781502pt;margin-top:1.792506pt;width:445.9pt;height:414.75pt;mso-position-horizontal-relative:page;mso-position-vertical-relative:paragraph;z-index:-15908864" id="docshapegroup1" coordorigin="1436,36" coordsize="8918,8295">
            <v:line style="position:absolute" from="1446,47" to="1446,8320" stroked="true" strokeweight="1.079pt" strokecolor="#000000">
              <v:stroke dashstyle="solid"/>
            </v:line>
            <v:shape style="position:absolute;left:2847;top:46;width:2984;height:8274" id="docshape2" coordorigin="2847,47" coordsize="2984,8274" path="m2847,47l2847,8320m5831,47l5831,8320e" filled="false" stroked="true" strokeweight=".36pt" strokecolor="#000000">
              <v:path arrowok="t"/>
              <v:stroke dashstyle="solid"/>
            </v:shape>
            <v:shape style="position:absolute;left:1436;top:46;width:8917;height:8274" id="docshape3" coordorigin="1437,47" coordsize="8917,8274" path="m10341,47l10341,8320m1437,47l10353,47e" filled="false" stroked="true" strokeweight="1.079pt" strokecolor="#000000">
              <v:path arrowok="t"/>
              <v:stroke dashstyle="solid"/>
            </v:shape>
            <v:shape style="position:absolute;left:1436;top:360;width:8917;height:7387" id="docshape4" coordorigin="1437,361" coordsize="8917,7387" path="m1437,361l10353,361m1437,931l10353,931m1437,1504l10353,1504m1437,2336l10353,2336m1437,2909l10353,2909m1437,3482l10353,3482m1437,4573l10353,4573m1437,4885l10353,4885m1437,5458l10353,5458m1437,6289l10353,6289m2845,6603l10353,6603m2845,6915l10353,6915m2845,7747l10353,7747e" filled="false" stroked="true" strokeweight=".36pt" strokecolor="#000000">
              <v:path arrowok="t"/>
              <v:stroke dashstyle="solid"/>
            </v:shape>
            <v:line style="position:absolute" from="1437,8320" to="10353,8320" stroked="true" strokeweight="1.079pt" strokecolor="#000000">
              <v:stroke dashstyle="solid"/>
            </v:line>
            <w10:wrap type="none"/>
          </v:group>
        </w:pict>
      </w:r>
      <w:r>
        <w:rPr>
          <w:spacing w:val="-6"/>
        </w:rPr>
        <w:t>항목 </w:t>
      </w:r>
      <w:r>
        <w:rPr/>
        <w:t>유리의</w:t>
      </w:r>
      <w:r>
        <w:rPr>
          <w:spacing w:val="29"/>
        </w:rPr>
        <w:t> </w:t>
      </w:r>
      <w:r>
        <w:rPr>
          <w:spacing w:val="-5"/>
        </w:rPr>
        <w:t>조성</w:t>
      </w:r>
    </w:p>
    <w:p>
      <w:pPr>
        <w:pStyle w:val="BodyText"/>
        <w:spacing w:line="657" w:lineRule="auto" w:before="128"/>
        <w:ind w:left="395" w:right="-7" w:hanging="101"/>
      </w:pPr>
      <w:r>
        <w:rPr/>
        <w:t>유리의</w:t>
      </w:r>
      <w:r>
        <w:rPr>
          <w:spacing w:val="-2"/>
        </w:rPr>
        <w:t> </w:t>
      </w:r>
      <w:r>
        <w:rPr/>
        <w:t>색조 병의 질량</w:t>
      </w:r>
    </w:p>
    <w:p>
      <w:pPr>
        <w:pStyle w:val="BodyText"/>
        <w:spacing w:line="532" w:lineRule="auto"/>
        <w:ind w:left="395" w:right="93"/>
      </w:pPr>
      <w:r>
        <w:rPr/>
        <w:t>병의</w:t>
      </w:r>
      <w:r>
        <w:rPr>
          <w:spacing w:val="-2"/>
        </w:rPr>
        <w:t> </w:t>
      </w:r>
      <w:r>
        <w:rPr/>
        <w:t>형상 유리</w:t>
      </w:r>
      <w:r>
        <w:rPr>
          <w:spacing w:val="29"/>
        </w:rPr>
        <w:t> </w:t>
      </w:r>
      <w:r>
        <w:rPr>
          <w:spacing w:val="-5"/>
        </w:rPr>
        <w:t>인쇄</w:t>
      </w:r>
    </w:p>
    <w:p>
      <w:pPr>
        <w:pStyle w:val="BodyText"/>
        <w:spacing w:before="5"/>
      </w:pPr>
    </w:p>
    <w:p>
      <w:pPr>
        <w:pStyle w:val="BodyText"/>
        <w:ind w:left="357" w:right="60"/>
        <w:jc w:val="center"/>
      </w:pPr>
      <w:r>
        <w:rPr>
          <w:spacing w:val="-5"/>
        </w:rPr>
        <w:t>라벨</w:t>
      </w:r>
    </w:p>
    <w:p>
      <w:pPr>
        <w:pStyle w:val="BodyText"/>
      </w:pPr>
    </w:p>
    <w:p>
      <w:pPr>
        <w:pStyle w:val="BodyText"/>
        <w:spacing w:before="9"/>
        <w:rPr>
          <w:sz w:val="14"/>
        </w:rPr>
      </w:pPr>
    </w:p>
    <w:p>
      <w:pPr>
        <w:pStyle w:val="BodyText"/>
        <w:spacing w:line="415" w:lineRule="auto"/>
        <w:ind w:left="360" w:right="60"/>
        <w:jc w:val="center"/>
      </w:pPr>
      <w:r>
        <w:rPr/>
        <w:t>캡 및 </w:t>
      </w:r>
      <w:r>
        <w:rPr/>
        <w:t>캡씰 </w:t>
      </w:r>
      <w:r>
        <w:rPr>
          <w:spacing w:val="-6"/>
        </w:rPr>
        <w:t>장식</w:t>
      </w:r>
    </w:p>
    <w:p>
      <w:pPr>
        <w:pStyle w:val="BodyText"/>
        <w:spacing w:line="242" w:lineRule="auto" w:before="129"/>
        <w:ind w:left="645" w:right="145" w:hanging="200"/>
      </w:pPr>
      <w:r>
        <w:rPr>
          <w:spacing w:val="-4"/>
        </w:rPr>
        <w:t>에콜로지 </w:t>
      </w:r>
      <w:r>
        <w:rPr>
          <w:spacing w:val="-6"/>
        </w:rPr>
        <w:t>보틀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line="242" w:lineRule="auto" w:before="143"/>
        <w:ind w:left="645" w:right="-7" w:hanging="250"/>
      </w:pPr>
      <w:r>
        <w:rPr/>
        <w:t>수지</w:t>
      </w:r>
      <w:r>
        <w:rPr>
          <w:spacing w:val="-2"/>
        </w:rPr>
        <w:t> </w:t>
      </w:r>
      <w:r>
        <w:rPr/>
        <w:t>칼라 </w:t>
      </w:r>
      <w:r>
        <w:rPr>
          <w:spacing w:val="-6"/>
        </w:rPr>
        <w:t>코팅</w:t>
      </w:r>
    </w:p>
    <w:p>
      <w:pPr>
        <w:pStyle w:val="BodyText"/>
        <w:spacing w:line="415" w:lineRule="auto" w:before="72"/>
        <w:ind w:left="139" w:firstLine="714"/>
      </w:pPr>
      <w:r>
        <w:rPr/>
        <w:br w:type="column"/>
      </w:r>
      <w:r>
        <w:rPr/>
        <w:t>설계</w:t>
      </w:r>
      <w:r>
        <w:rPr>
          <w:spacing w:val="-2"/>
        </w:rPr>
        <w:t> </w:t>
      </w:r>
      <w:r>
        <w:rPr/>
        <w:t>가이드라인 </w:t>
      </w:r>
      <w:r>
        <w:rPr>
          <w:spacing w:val="-2"/>
        </w:rPr>
        <w:t>소다석회유리</w:t>
      </w:r>
    </w:p>
    <w:p>
      <w:pPr>
        <w:pStyle w:val="BodyText"/>
        <w:spacing w:before="128"/>
        <w:ind w:left="139"/>
      </w:pPr>
      <w:r>
        <w:rPr/>
        <w:t>특별히</w:t>
      </w:r>
      <w:r>
        <w:rPr>
          <w:spacing w:val="28"/>
        </w:rPr>
        <w:t> </w:t>
      </w:r>
      <w:r>
        <w:rPr/>
        <w:t>한정하지</w:t>
      </w:r>
      <w:r>
        <w:rPr>
          <w:spacing w:val="28"/>
        </w:rPr>
        <w:t> </w:t>
      </w:r>
      <w:r>
        <w:rPr>
          <w:spacing w:val="-5"/>
        </w:rPr>
        <w:t>않음</w:t>
      </w:r>
    </w:p>
    <w:p>
      <w:pPr>
        <w:pStyle w:val="BodyText"/>
        <w:spacing w:before="8"/>
        <w:rPr>
          <w:sz w:val="24"/>
        </w:rPr>
      </w:pPr>
    </w:p>
    <w:p>
      <w:pPr>
        <w:pStyle w:val="BodyText"/>
        <w:spacing w:line="242" w:lineRule="auto"/>
        <w:ind w:left="139"/>
      </w:pPr>
      <w:r>
        <w:rPr>
          <w:spacing w:val="-4"/>
        </w:rPr>
        <w:t>경량화를</w:t>
      </w:r>
      <w:r>
        <w:rPr>
          <w:spacing w:val="-13"/>
        </w:rPr>
        <w:t> </w:t>
      </w:r>
      <w:r>
        <w:rPr>
          <w:spacing w:val="-4"/>
        </w:rPr>
        <w:t>염두에</w:t>
      </w:r>
      <w:r>
        <w:rPr>
          <w:spacing w:val="-12"/>
        </w:rPr>
        <w:t> </w:t>
      </w:r>
      <w:r>
        <w:rPr>
          <w:spacing w:val="-4"/>
        </w:rPr>
        <w:t>두고</w:t>
      </w:r>
      <w:r>
        <w:rPr>
          <w:rFonts w:ascii="Book Antiqua" w:eastAsia="Book Antiqua"/>
          <w:spacing w:val="-4"/>
        </w:rPr>
        <w:t>,</w:t>
      </w:r>
      <w:r>
        <w:rPr>
          <w:rFonts w:ascii="Book Antiqua" w:eastAsia="Book Antiqua"/>
          <w:spacing w:val="10"/>
        </w:rPr>
        <w:t> </w:t>
      </w:r>
      <w:r>
        <w:rPr>
          <w:spacing w:val="-4"/>
        </w:rPr>
        <w:t>안전성을 </w:t>
      </w:r>
      <w:r>
        <w:rPr/>
        <w:t>담보하는 필요질량 확보</w:t>
      </w:r>
    </w:p>
    <w:p>
      <w:pPr>
        <w:pStyle w:val="BodyText"/>
        <w:spacing w:before="6"/>
        <w:rPr>
          <w:sz w:val="24"/>
        </w:rPr>
      </w:pPr>
    </w:p>
    <w:p>
      <w:pPr>
        <w:pStyle w:val="BodyText"/>
        <w:spacing w:line="532" w:lineRule="auto"/>
        <w:ind w:left="139" w:right="684"/>
      </w:pPr>
      <w:r>
        <w:rPr/>
        <w:t>특별히 한정하지 </w:t>
      </w:r>
      <w:r>
        <w:rPr/>
        <w:t>않음 특별히</w:t>
      </w:r>
      <w:r>
        <w:rPr>
          <w:spacing w:val="28"/>
        </w:rPr>
        <w:t> </w:t>
      </w:r>
      <w:r>
        <w:rPr/>
        <w:t>한정하지</w:t>
      </w:r>
      <w:r>
        <w:rPr>
          <w:spacing w:val="28"/>
        </w:rPr>
        <w:t> </w:t>
      </w:r>
      <w:r>
        <w:rPr>
          <w:spacing w:val="-5"/>
        </w:rPr>
        <w:t>않음</w:t>
      </w:r>
    </w:p>
    <w:p>
      <w:pPr>
        <w:pStyle w:val="BodyText"/>
        <w:spacing w:before="6"/>
      </w:pPr>
    </w:p>
    <w:p>
      <w:pPr>
        <w:pStyle w:val="BodyText"/>
        <w:ind w:left="139"/>
      </w:pPr>
      <w:r>
        <w:rPr/>
        <w:t>알루미늄박</w:t>
      </w:r>
      <w:r>
        <w:rPr>
          <w:spacing w:val="26"/>
        </w:rPr>
        <w:t> </w:t>
      </w:r>
      <w:r>
        <w:rPr/>
        <w:t>라벨</w:t>
      </w:r>
      <w:r>
        <w:rPr>
          <w:spacing w:val="28"/>
        </w:rPr>
        <w:t> </w:t>
      </w:r>
      <w:r>
        <w:rPr>
          <w:spacing w:val="-4"/>
        </w:rPr>
        <w:t>사용금지</w:t>
      </w:r>
    </w:p>
    <w:p>
      <w:pPr>
        <w:pStyle w:val="BodyText"/>
      </w:pPr>
    </w:p>
    <w:p>
      <w:pPr>
        <w:pStyle w:val="BodyText"/>
        <w:spacing w:before="10"/>
        <w:rPr>
          <w:sz w:val="14"/>
        </w:rPr>
      </w:pPr>
    </w:p>
    <w:p>
      <w:pPr>
        <w:pStyle w:val="BodyText"/>
        <w:spacing w:line="415" w:lineRule="auto"/>
        <w:ind w:left="139" w:right="684"/>
      </w:pPr>
      <w:r>
        <w:rPr/>
        <w:t>특별히 한정하지 </w:t>
      </w:r>
      <w:r>
        <w:rPr/>
        <w:t>않음 병 본체와 쉽게 분리</w:t>
      </w:r>
    </w:p>
    <w:p>
      <w:pPr>
        <w:pStyle w:val="BodyText"/>
        <w:spacing w:line="242" w:lineRule="auto" w:before="128"/>
        <w:ind w:left="139" w:right="-5"/>
      </w:pPr>
      <w:r>
        <w:rPr>
          <w:spacing w:val="-2"/>
        </w:rPr>
        <w:t>기타</w:t>
      </w:r>
      <w:r>
        <w:rPr>
          <w:spacing w:val="-15"/>
        </w:rPr>
        <w:t> </w:t>
      </w:r>
      <w:r>
        <w:rPr>
          <w:spacing w:val="-2"/>
        </w:rPr>
        <w:t>색을</w:t>
      </w:r>
      <w:r>
        <w:rPr>
          <w:spacing w:val="-15"/>
        </w:rPr>
        <w:t> </w:t>
      </w:r>
      <w:r>
        <w:rPr>
          <w:spacing w:val="-2"/>
        </w:rPr>
        <w:t>중심으로</w:t>
      </w:r>
      <w:r>
        <w:rPr>
          <w:spacing w:val="-15"/>
        </w:rPr>
        <w:t> </w:t>
      </w:r>
      <w:r>
        <w:rPr>
          <w:spacing w:val="-2"/>
        </w:rPr>
        <w:t>하는</w:t>
      </w:r>
      <w:r>
        <w:rPr>
          <w:spacing w:val="-14"/>
        </w:rPr>
        <w:t> </w:t>
      </w:r>
      <w:r>
        <w:rPr>
          <w:spacing w:val="-2"/>
        </w:rPr>
        <w:t>파유리 </w:t>
      </w:r>
      <w:r>
        <w:rPr/>
        <w:t>투입 시 </w:t>
      </w:r>
      <w:r>
        <w:rPr>
          <w:rFonts w:ascii="Book Antiqua" w:eastAsia="Book Antiqua"/>
        </w:rPr>
        <w:t>90%</w:t>
      </w:r>
      <w:r>
        <w:rPr>
          <w:rFonts w:ascii="Book Antiqua" w:eastAsia="Book Antiqua"/>
          <w:spacing w:val="40"/>
        </w:rPr>
        <w:t> </w:t>
      </w:r>
      <w:r>
        <w:rPr/>
        <w:t>이상 이용</w:t>
      </w:r>
    </w:p>
    <w:p>
      <w:pPr>
        <w:pStyle w:val="BodyText"/>
        <w:spacing w:before="4"/>
        <w:rPr>
          <w:sz w:val="14"/>
        </w:rPr>
      </w:pPr>
    </w:p>
    <w:p>
      <w:pPr>
        <w:pStyle w:val="BodyText"/>
        <w:spacing w:line="290" w:lineRule="auto" w:before="1"/>
        <w:ind w:left="139"/>
      </w:pPr>
      <w:r>
        <w:rPr/>
        <w:t>병 색조에 제한을 두지 </w:t>
      </w:r>
      <w:r>
        <w:rPr/>
        <w:t>않음 코팅색에 제한을 두지 않음</w:t>
      </w:r>
    </w:p>
    <w:p>
      <w:pPr>
        <w:pStyle w:val="BodyText"/>
        <w:spacing w:before="6"/>
      </w:pPr>
    </w:p>
    <w:p>
      <w:pPr>
        <w:pStyle w:val="BodyText"/>
        <w:spacing w:before="1"/>
        <w:ind w:left="139"/>
      </w:pPr>
      <w:r>
        <w:rPr/>
        <w:t>주둥이에</w:t>
      </w:r>
      <w:r>
        <w:rPr>
          <w:spacing w:val="29"/>
        </w:rPr>
        <w:t> </w:t>
      </w:r>
      <w:r>
        <w:rPr/>
        <w:t>코팅</w:t>
      </w:r>
      <w:r>
        <w:rPr>
          <w:spacing w:val="29"/>
        </w:rPr>
        <w:t> </w:t>
      </w:r>
      <w:r>
        <w:rPr/>
        <w:t>하지</w:t>
      </w:r>
      <w:r>
        <w:rPr>
          <w:spacing w:val="29"/>
        </w:rPr>
        <w:t> </w:t>
      </w:r>
      <w:r>
        <w:rPr>
          <w:spacing w:val="-7"/>
        </w:rPr>
        <w:t>않음</w:t>
      </w:r>
    </w:p>
    <w:p>
      <w:pPr>
        <w:pStyle w:val="BodyText"/>
        <w:spacing w:before="8"/>
        <w:rPr>
          <w:sz w:val="24"/>
        </w:rPr>
      </w:pPr>
    </w:p>
    <w:p>
      <w:pPr>
        <w:pStyle w:val="BodyText"/>
        <w:spacing w:line="242" w:lineRule="auto"/>
        <w:ind w:left="139" w:right="17"/>
      </w:pPr>
      <w:r>
        <w:rPr/>
        <w:t>용해 시 이물을 </w:t>
      </w:r>
      <w:r>
        <w:rPr/>
        <w:t>발생시키는 금속 사용 금지</w:t>
      </w:r>
    </w:p>
    <w:p>
      <w:pPr>
        <w:spacing w:before="72"/>
        <w:ind w:left="2176" w:right="0" w:firstLine="0"/>
        <w:jc w:val="left"/>
        <w:rPr>
          <w:sz w:val="20"/>
        </w:rPr>
      </w:pPr>
      <w:r>
        <w:rPr/>
        <w:br w:type="column"/>
      </w:r>
      <w:r>
        <w:rPr>
          <w:spacing w:val="-5"/>
          <w:sz w:val="20"/>
        </w:rPr>
        <w:t>설명</w:t>
      </w:r>
    </w:p>
    <w:p>
      <w:pPr>
        <w:pStyle w:val="BodyText"/>
        <w:spacing w:line="242" w:lineRule="auto" w:before="57"/>
        <w:ind w:left="147" w:right="429"/>
      </w:pPr>
      <w:r>
        <w:rPr/>
        <w:t>붕규산 유리 및 결정화 유리는 파유리로 사용할 경우 미용해가 되어 병의 결점이 된다</w:t>
      </w:r>
    </w:p>
    <w:p>
      <w:pPr>
        <w:pStyle w:val="BodyText"/>
        <w:spacing w:before="55"/>
        <w:ind w:left="147"/>
      </w:pPr>
      <w:r>
        <w:rPr/>
        <w:t>무색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3"/>
        </w:rPr>
        <w:t> </w:t>
      </w:r>
      <w:r>
        <w:rPr/>
        <w:t>갈색을</w:t>
      </w:r>
      <w:r>
        <w:rPr>
          <w:spacing w:val="30"/>
        </w:rPr>
        <w:t> </w:t>
      </w:r>
      <w:r>
        <w:rPr>
          <w:spacing w:val="-5"/>
        </w:rPr>
        <w:t>우선</w:t>
      </w:r>
    </w:p>
    <w:p>
      <w:pPr>
        <w:pStyle w:val="BodyText"/>
        <w:spacing w:line="268" w:lineRule="auto" w:before="2"/>
        <w:ind w:left="147" w:right="495"/>
      </w:pPr>
      <w:r>
        <w:rPr/>
        <w:t>일본유리병협회</w:t>
      </w:r>
      <w:r>
        <w:rPr>
          <w:spacing w:val="40"/>
        </w:rPr>
        <w:t> </w:t>
      </w:r>
      <w:r>
        <w:rPr/>
        <w:t>색조</w:t>
      </w:r>
      <w:r>
        <w:rPr>
          <w:spacing w:val="40"/>
        </w:rPr>
        <w:t> </w:t>
      </w:r>
      <w:r>
        <w:rPr/>
        <w:t>규격</w:t>
      </w:r>
      <w:r>
        <w:rPr>
          <w:spacing w:val="40"/>
        </w:rPr>
        <w:t> </w:t>
      </w:r>
      <w:r>
        <w:rPr/>
        <w:t>적용</w:t>
      </w:r>
      <w:r>
        <w:rPr>
          <w:spacing w:val="40"/>
        </w:rPr>
        <w:t> </w:t>
      </w:r>
      <w:r>
        <w:rPr/>
        <w:t>바람직</w:t>
      </w:r>
      <w:r>
        <w:rPr>
          <w:spacing w:val="80"/>
        </w:rPr>
        <w:t> </w:t>
      </w:r>
      <w:r>
        <w:rPr/>
        <w:t>내용물 보호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취급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유통상의 안전성이 담보 경량화를 통한 자원절약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39"/>
        </w:rPr>
        <w:t> </w:t>
      </w:r>
      <w:r>
        <w:rPr/>
        <w:t>에너지절약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39"/>
        </w:rPr>
        <w:t> </w:t>
      </w:r>
      <w:r>
        <w:rPr/>
        <w:t>탄산가스</w:t>
      </w:r>
    </w:p>
    <w:p>
      <w:pPr>
        <w:pStyle w:val="BodyText"/>
        <w:spacing w:line="226" w:lineRule="exact"/>
        <w:ind w:left="147"/>
      </w:pPr>
      <w:r>
        <w:rPr/>
        <w:t>배출량</w:t>
      </w:r>
      <w:r>
        <w:rPr>
          <w:spacing w:val="29"/>
        </w:rPr>
        <w:t> </w:t>
      </w:r>
      <w:r>
        <w:rPr/>
        <w:t>삭감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5"/>
        </w:rPr>
        <w:t> </w:t>
      </w:r>
      <w:r>
        <w:rPr/>
        <w:t>수송효율</w:t>
      </w:r>
      <w:r>
        <w:rPr>
          <w:spacing w:val="29"/>
        </w:rPr>
        <w:t> </w:t>
      </w:r>
      <w:r>
        <w:rPr/>
        <w:t>향상</w:t>
      </w:r>
      <w:r>
        <w:rPr>
          <w:spacing w:val="29"/>
        </w:rPr>
        <w:t> </w:t>
      </w:r>
      <w:r>
        <w:rPr/>
        <w:t>등의</w:t>
      </w:r>
      <w:r>
        <w:rPr>
          <w:spacing w:val="29"/>
        </w:rPr>
        <w:t> </w:t>
      </w:r>
      <w:r>
        <w:rPr/>
        <w:t>효과</w:t>
      </w:r>
      <w:r>
        <w:rPr>
          <w:spacing w:val="30"/>
        </w:rPr>
        <w:t> </w:t>
      </w:r>
      <w:r>
        <w:rPr>
          <w:spacing w:val="-5"/>
        </w:rPr>
        <w:t>있음</w:t>
      </w:r>
    </w:p>
    <w:p>
      <w:pPr>
        <w:pStyle w:val="BodyText"/>
        <w:spacing w:line="244" w:lineRule="auto" w:before="55"/>
        <w:ind w:left="147" w:right="429"/>
      </w:pPr>
      <w:r>
        <w:rPr/>
        <w:t>형상은 둥근병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모나지 않은 어깨의 </w:t>
      </w:r>
      <w:r>
        <w:rPr/>
        <w:t>형상이 강도를 유지하는데 유리</w:t>
      </w:r>
    </w:p>
    <w:p>
      <w:pPr>
        <w:pStyle w:val="BodyText"/>
        <w:spacing w:before="49"/>
        <w:ind w:left="147"/>
      </w:pPr>
      <w:r>
        <w:rPr/>
        <w:t>무색</w:t>
      </w:r>
      <w:r>
        <w:rPr>
          <w:spacing w:val="28"/>
        </w:rPr>
        <w:t> </w:t>
      </w:r>
      <w:r>
        <w:rPr/>
        <w:t>병에</w:t>
      </w:r>
      <w:r>
        <w:rPr>
          <w:spacing w:val="29"/>
        </w:rPr>
        <w:t> </w:t>
      </w:r>
      <w:r>
        <w:rPr/>
        <w:t>대한</w:t>
      </w:r>
      <w:r>
        <w:rPr>
          <w:spacing w:val="28"/>
        </w:rPr>
        <w:t> </w:t>
      </w:r>
      <w:r>
        <w:rPr/>
        <w:t>산화코발트를</w:t>
      </w:r>
      <w:r>
        <w:rPr>
          <w:spacing w:val="29"/>
        </w:rPr>
        <w:t> </w:t>
      </w:r>
      <w:r>
        <w:rPr/>
        <w:t>포함한</w:t>
      </w:r>
      <w:r>
        <w:rPr>
          <w:spacing w:val="29"/>
        </w:rPr>
        <w:t> </w:t>
      </w:r>
      <w:r>
        <w:rPr>
          <w:spacing w:val="-5"/>
        </w:rPr>
        <w:t>청색</w:t>
      </w:r>
    </w:p>
    <w:p>
      <w:pPr>
        <w:pStyle w:val="BodyText"/>
        <w:spacing w:before="5"/>
        <w:ind w:left="147"/>
      </w:pPr>
      <w:r>
        <w:rPr>
          <w:rFonts w:ascii="Book Antiqua" w:eastAsia="Book Antiqua"/>
        </w:rPr>
        <w:t>ACL</w:t>
      </w:r>
      <w:r>
        <w:rPr>
          <w:rFonts w:ascii="Book Antiqua" w:eastAsia="Book Antiqua"/>
          <w:spacing w:val="45"/>
        </w:rPr>
        <w:t> </w:t>
      </w:r>
      <w:r>
        <w:rPr/>
        <w:t>가공은</w:t>
      </w:r>
      <w:r>
        <w:rPr>
          <w:spacing w:val="29"/>
        </w:rPr>
        <w:t> </w:t>
      </w:r>
      <w:r>
        <w:rPr/>
        <w:t>피하는</w:t>
      </w:r>
      <w:r>
        <w:rPr>
          <w:spacing w:val="29"/>
        </w:rPr>
        <w:t> </w:t>
      </w:r>
      <w:r>
        <w:rPr/>
        <w:t>것이</w:t>
      </w:r>
      <w:r>
        <w:rPr>
          <w:spacing w:val="29"/>
        </w:rPr>
        <w:t> </w:t>
      </w:r>
      <w:r>
        <w:rPr>
          <w:spacing w:val="-5"/>
        </w:rPr>
        <w:t>바람직</w:t>
      </w:r>
    </w:p>
    <w:p>
      <w:pPr>
        <w:pStyle w:val="BodyText"/>
        <w:spacing w:line="242" w:lineRule="auto" w:before="55"/>
        <w:ind w:left="147" w:right="429"/>
      </w:pPr>
      <w:r>
        <w:rPr/>
        <w:t>알루미늄박이 용해로에 혼입되면 실리콘 스톤이 생성되어 유리병 강도저하의 원인이 되므로 알루미늄박을 라미네이트한 라벨 사용금지 알루미늄박</w:t>
      </w:r>
      <w:r>
        <w:rPr>
          <w:spacing w:val="27"/>
        </w:rPr>
        <w:t> </w:t>
      </w:r>
      <w:r>
        <w:rPr/>
        <w:t>라벨을</w:t>
      </w:r>
      <w:r>
        <w:rPr>
          <w:spacing w:val="28"/>
        </w:rPr>
        <w:t> </w:t>
      </w:r>
      <w:r>
        <w:rPr/>
        <w:t>알루미늄</w:t>
      </w:r>
      <w:r>
        <w:rPr>
          <w:spacing w:val="28"/>
        </w:rPr>
        <w:t> </w:t>
      </w:r>
      <w:r>
        <w:rPr/>
        <w:t>증착</w:t>
      </w:r>
      <w:r>
        <w:rPr>
          <w:spacing w:val="28"/>
        </w:rPr>
        <w:t> </w:t>
      </w:r>
      <w:r>
        <w:rPr/>
        <w:t>라벨로</w:t>
      </w:r>
      <w:r>
        <w:rPr>
          <w:spacing w:val="28"/>
        </w:rPr>
        <w:t> </w:t>
      </w:r>
      <w:r>
        <w:rPr>
          <w:spacing w:val="-5"/>
        </w:rPr>
        <w:t>대체</w:t>
      </w:r>
    </w:p>
    <w:p>
      <w:pPr>
        <w:pStyle w:val="BodyText"/>
        <w:spacing w:before="9"/>
        <w:rPr>
          <w:sz w:val="28"/>
        </w:rPr>
      </w:pPr>
    </w:p>
    <w:p>
      <w:pPr>
        <w:pStyle w:val="BodyText"/>
        <w:spacing w:line="242" w:lineRule="auto"/>
        <w:ind w:left="147"/>
      </w:pPr>
      <w:r>
        <w:rPr/>
        <w:t>금속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도자기 등의 장식품이 용해로에 </w:t>
      </w:r>
      <w:r>
        <w:rPr/>
        <w:t>혼입되면 유리병 강도 저하의 원인</w:t>
      </w:r>
    </w:p>
    <w:p>
      <w:pPr>
        <w:pStyle w:val="BodyText"/>
        <w:spacing w:line="242" w:lineRule="auto" w:before="54"/>
        <w:ind w:left="147" w:right="475"/>
      </w:pPr>
      <w:r>
        <w:rPr/>
        <w:t>용해 베이스로서 </w:t>
      </w:r>
      <w:r>
        <w:rPr>
          <w:rFonts w:ascii="Book Antiqua" w:eastAsia="Book Antiqua"/>
        </w:rPr>
        <w:t>90%</w:t>
      </w:r>
      <w:r>
        <w:rPr>
          <w:rFonts w:ascii="Book Antiqua" w:eastAsia="Book Antiqua"/>
          <w:spacing w:val="40"/>
        </w:rPr>
        <w:t> </w:t>
      </w:r>
      <w:r>
        <w:rPr/>
        <w:t>이상의 컬렛을 </w:t>
      </w:r>
      <w:r>
        <w:rPr/>
        <w:t>사용하는 에콜로지 보틀을 추진하므로서 컬렛 사용량 증가 효과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line="242" w:lineRule="auto" w:before="165"/>
        <w:ind w:left="147" w:right="429"/>
      </w:pPr>
      <w:r>
        <w:rPr/>
        <w:t>유리병 색깔 분별을 위해 주둥이에 코팅 </w:t>
      </w:r>
      <w:r>
        <w:rPr/>
        <w:t>금지 소비자가 색깔 분별하기 쉽도록 라벨에 병의 색깔 표시</w:t>
      </w:r>
    </w:p>
    <w:p>
      <w:pPr>
        <w:pStyle w:val="BodyText"/>
        <w:spacing w:before="6"/>
        <w:rPr>
          <w:sz w:val="14"/>
        </w:rPr>
      </w:pPr>
    </w:p>
    <w:p>
      <w:pPr>
        <w:pStyle w:val="BodyText"/>
        <w:ind w:left="147"/>
      </w:pPr>
      <w:r>
        <w:rPr/>
        <w:t>용해로에</w:t>
      </w:r>
      <w:r>
        <w:rPr>
          <w:spacing w:val="29"/>
        </w:rPr>
        <w:t> </w:t>
      </w:r>
      <w:r>
        <w:rPr/>
        <w:t>금속</w:t>
      </w:r>
      <w:r>
        <w:rPr>
          <w:spacing w:val="29"/>
        </w:rPr>
        <w:t> </w:t>
      </w:r>
      <w:r>
        <w:rPr/>
        <w:t>혼입</w:t>
      </w:r>
      <w:r>
        <w:rPr>
          <w:spacing w:val="29"/>
        </w:rPr>
        <w:t> </w:t>
      </w:r>
      <w:r>
        <w:rPr/>
        <w:t>시</w:t>
      </w:r>
      <w:r>
        <w:rPr>
          <w:spacing w:val="30"/>
        </w:rPr>
        <w:t> </w:t>
      </w:r>
      <w:r>
        <w:rPr/>
        <w:t>유리병</w:t>
      </w:r>
      <w:r>
        <w:rPr>
          <w:spacing w:val="29"/>
        </w:rPr>
        <w:t> </w:t>
      </w:r>
      <w:r>
        <w:rPr/>
        <w:t>강도</w:t>
      </w:r>
      <w:r>
        <w:rPr>
          <w:spacing w:val="29"/>
        </w:rPr>
        <w:t> </w:t>
      </w:r>
      <w:r>
        <w:rPr/>
        <w:t>저하</w:t>
      </w:r>
      <w:r>
        <w:rPr>
          <w:spacing w:val="30"/>
        </w:rPr>
        <w:t> </w:t>
      </w:r>
      <w:r>
        <w:rPr>
          <w:spacing w:val="-5"/>
        </w:rPr>
        <w:t>원인</w:t>
      </w:r>
    </w:p>
    <w:p>
      <w:pPr>
        <w:spacing w:after="0"/>
        <w:sectPr>
          <w:type w:val="continuous"/>
          <w:pgSz w:w="11900" w:h="16820"/>
          <w:pgMar w:top="1600" w:bottom="280" w:left="1300" w:right="1300"/>
          <w:cols w:num="3" w:equalWidth="0">
            <w:col w:w="1394" w:space="40"/>
            <w:col w:w="2937" w:space="39"/>
            <w:col w:w="4890"/>
          </w:cols>
        </w:sectPr>
      </w:pPr>
    </w:p>
    <w:p>
      <w:pPr>
        <w:pStyle w:val="BodyText"/>
      </w:pPr>
    </w:p>
    <w:p>
      <w:pPr>
        <w:pStyle w:val="BodyText"/>
        <w:rPr>
          <w:sz w:val="25"/>
        </w:rPr>
      </w:pPr>
    </w:p>
    <w:p>
      <w:pPr>
        <w:spacing w:before="52"/>
        <w:ind w:left="117" w:right="0" w:firstLine="0"/>
        <w:jc w:val="both"/>
        <w:rPr>
          <w:rFonts w:ascii="Gulim" w:eastAsia="Gulim"/>
          <w:sz w:val="24"/>
        </w:rPr>
      </w:pPr>
      <w:r>
        <w:rPr>
          <w:rFonts w:ascii="Gulim" w:eastAsia="Gulim"/>
          <w:sz w:val="24"/>
        </w:rPr>
        <w:t>또한</w:t>
      </w:r>
      <w:r>
        <w:rPr>
          <w:rFonts w:ascii="Gulim" w:eastAsia="Gulim"/>
          <w:spacing w:val="77"/>
          <w:sz w:val="24"/>
        </w:rPr>
        <w:t> </w:t>
      </w:r>
      <w:r>
        <w:rPr>
          <w:rFonts w:ascii="Gulim" w:eastAsia="Gulim"/>
          <w:sz w:val="24"/>
        </w:rPr>
        <w:t>친환경</w:t>
      </w:r>
      <w:r>
        <w:rPr>
          <w:rFonts w:ascii="Gulim" w:eastAsia="Gulim"/>
          <w:spacing w:val="76"/>
          <w:sz w:val="24"/>
        </w:rPr>
        <w:t> </w:t>
      </w:r>
      <w:r>
        <w:rPr>
          <w:rFonts w:ascii="Gulim" w:eastAsia="Gulim"/>
          <w:sz w:val="24"/>
        </w:rPr>
        <w:t>패키징과</w:t>
      </w:r>
      <w:r>
        <w:rPr>
          <w:rFonts w:ascii="Gulim" w:eastAsia="Gulim"/>
          <w:spacing w:val="78"/>
          <w:sz w:val="24"/>
        </w:rPr>
        <w:t> </w:t>
      </w:r>
      <w:r>
        <w:rPr>
          <w:rFonts w:ascii="Gulim" w:eastAsia="Gulim"/>
          <w:sz w:val="24"/>
        </w:rPr>
        <w:t>관련된</w:t>
      </w:r>
      <w:r>
        <w:rPr>
          <w:rFonts w:ascii="Gulim" w:eastAsia="Gulim"/>
          <w:spacing w:val="75"/>
          <w:sz w:val="24"/>
        </w:rPr>
        <w:t> </w:t>
      </w:r>
      <w:r>
        <w:rPr>
          <w:rFonts w:ascii="Gulim" w:eastAsia="Gulim"/>
          <w:sz w:val="24"/>
        </w:rPr>
        <w:t>3R</w:t>
      </w:r>
      <w:r>
        <w:rPr>
          <w:rFonts w:ascii="Gulim" w:eastAsia="Gulim"/>
          <w:spacing w:val="78"/>
          <w:sz w:val="24"/>
        </w:rPr>
        <w:t> </w:t>
      </w:r>
      <w:r>
        <w:rPr>
          <w:rFonts w:ascii="Gulim" w:eastAsia="Gulim"/>
          <w:sz w:val="24"/>
        </w:rPr>
        <w:t>활동,</w:t>
      </w:r>
      <w:r>
        <w:rPr>
          <w:rFonts w:ascii="Gulim" w:eastAsia="Gulim"/>
          <w:spacing w:val="40"/>
          <w:w w:val="150"/>
          <w:sz w:val="24"/>
        </w:rPr>
        <w:t> </w:t>
      </w:r>
      <w:r>
        <w:rPr>
          <w:rFonts w:ascii="Gulim" w:eastAsia="Gulim"/>
          <w:sz w:val="24"/>
        </w:rPr>
        <w:t>즉</w:t>
      </w:r>
      <w:r>
        <w:rPr>
          <w:rFonts w:ascii="Gulim" w:eastAsia="Gulim"/>
          <w:spacing w:val="75"/>
          <w:sz w:val="24"/>
        </w:rPr>
        <w:t> </w:t>
      </w:r>
      <w:r>
        <w:rPr>
          <w:rFonts w:ascii="Gulim" w:eastAsia="Gulim"/>
          <w:sz w:val="24"/>
        </w:rPr>
        <w:t>원천</w:t>
      </w:r>
      <w:r>
        <w:rPr>
          <w:rFonts w:ascii="Gulim" w:eastAsia="Gulim"/>
          <w:spacing w:val="78"/>
          <w:sz w:val="24"/>
        </w:rPr>
        <w:t> </w:t>
      </w:r>
      <w:r>
        <w:rPr>
          <w:rFonts w:ascii="Gulim" w:eastAsia="Gulim"/>
          <w:sz w:val="24"/>
        </w:rPr>
        <w:t>감량,</w:t>
      </w:r>
      <w:r>
        <w:rPr>
          <w:rFonts w:ascii="Gulim" w:eastAsia="Gulim"/>
          <w:spacing w:val="77"/>
          <w:sz w:val="24"/>
        </w:rPr>
        <w:t> </w:t>
      </w:r>
      <w:r>
        <w:rPr>
          <w:rFonts w:ascii="Gulim" w:eastAsia="Gulim"/>
          <w:sz w:val="24"/>
        </w:rPr>
        <w:t>재사용,</w:t>
      </w:r>
      <w:r>
        <w:rPr>
          <w:rFonts w:ascii="Gulim" w:eastAsia="Gulim"/>
          <w:spacing w:val="76"/>
          <w:sz w:val="24"/>
        </w:rPr>
        <w:t> </w:t>
      </w:r>
      <w:r>
        <w:rPr>
          <w:rFonts w:ascii="Gulim" w:eastAsia="Gulim"/>
          <w:sz w:val="24"/>
        </w:rPr>
        <w:t>재활용에</w:t>
      </w:r>
      <w:r>
        <w:rPr>
          <w:rFonts w:ascii="Gulim" w:eastAsia="Gulim"/>
          <w:spacing w:val="78"/>
          <w:sz w:val="24"/>
        </w:rPr>
        <w:t> </w:t>
      </w:r>
      <w:r>
        <w:rPr>
          <w:rFonts w:ascii="Gulim" w:eastAsia="Gulim"/>
          <w:spacing w:val="-5"/>
          <w:sz w:val="24"/>
        </w:rPr>
        <w:t>대해</w:t>
      </w:r>
    </w:p>
    <w:p>
      <w:pPr>
        <w:spacing w:line="300" w:lineRule="auto" w:before="75"/>
        <w:ind w:left="117" w:right="115" w:firstLine="0"/>
        <w:jc w:val="both"/>
        <w:rPr>
          <w:rFonts w:ascii="Gulim" w:eastAsia="Gulim"/>
          <w:sz w:val="24"/>
        </w:rPr>
      </w:pPr>
      <w:r>
        <w:rPr>
          <w:spacing w:val="12"/>
          <w:sz w:val="24"/>
        </w:rPr>
        <w:t>【</w:t>
      </w:r>
      <w:r>
        <w:rPr>
          <w:sz w:val="24"/>
        </w:rPr>
        <w:t>표 </w:t>
      </w:r>
      <w:r>
        <w:rPr>
          <w:spacing w:val="11"/>
          <w:sz w:val="24"/>
        </w:rPr>
        <w:t>3-</w:t>
      </w:r>
      <w:r>
        <w:rPr>
          <w:spacing w:val="12"/>
          <w:sz w:val="24"/>
        </w:rPr>
        <w:t>13】</w:t>
      </w:r>
      <w:r>
        <w:rPr>
          <w:rFonts w:ascii="Gulim" w:eastAsia="Gulim"/>
          <w:sz w:val="24"/>
        </w:rPr>
        <w:t>과 같이 업체 스스로 연차별 목표 값을 설정하고 이를 지키기 </w:t>
      </w:r>
      <w:r>
        <w:rPr>
          <w:rFonts w:ascii="Gulim" w:eastAsia="Gulim"/>
          <w:sz w:val="24"/>
        </w:rPr>
        <w:t>위한 연구를 수행하고 있다. 여기에는 종이, 플라스틱, 유리, 금속 등 패키징 관련 8개 단체와 패키징 생산업체, 사용업체가 참여하고 있다.</w:t>
      </w:r>
    </w:p>
    <w:p>
      <w:pPr>
        <w:spacing w:before="195"/>
        <w:ind w:left="1482" w:right="1489" w:firstLine="0"/>
        <w:jc w:val="center"/>
        <w:rPr>
          <w:sz w:val="24"/>
        </w:rPr>
      </w:pPr>
      <w:r>
        <w:rPr>
          <w:spacing w:val="12"/>
          <w:sz w:val="24"/>
        </w:rPr>
        <w:t>【</w:t>
      </w:r>
      <w:r>
        <w:rPr>
          <w:sz w:val="24"/>
        </w:rPr>
        <w:t>표</w:t>
      </w:r>
      <w:r>
        <w:rPr>
          <w:spacing w:val="45"/>
          <w:sz w:val="24"/>
        </w:rPr>
        <w:t> </w:t>
      </w:r>
      <w:r>
        <w:rPr>
          <w:spacing w:val="11"/>
          <w:sz w:val="24"/>
        </w:rPr>
        <w:t>3-</w:t>
      </w:r>
      <w:r>
        <w:rPr>
          <w:spacing w:val="12"/>
          <w:sz w:val="24"/>
        </w:rPr>
        <w:t>13</w:t>
      </w:r>
      <w:r>
        <w:rPr>
          <w:spacing w:val="12"/>
          <w:sz w:val="24"/>
        </w:rPr>
        <w:t>】</w:t>
      </w:r>
      <w:r>
        <w:rPr>
          <w:sz w:val="24"/>
        </w:rPr>
        <w:t>패키징</w:t>
      </w:r>
      <w:r>
        <w:rPr>
          <w:spacing w:val="46"/>
          <w:sz w:val="24"/>
        </w:rPr>
        <w:t> </w:t>
      </w:r>
      <w:r>
        <w:rPr>
          <w:sz w:val="24"/>
        </w:rPr>
        <w:t>재활용을</w:t>
      </w:r>
      <w:r>
        <w:rPr>
          <w:spacing w:val="46"/>
          <w:sz w:val="24"/>
        </w:rPr>
        <w:t> </w:t>
      </w:r>
      <w:r>
        <w:rPr>
          <w:sz w:val="24"/>
        </w:rPr>
        <w:t>위한</w:t>
      </w:r>
      <w:r>
        <w:rPr>
          <w:spacing w:val="46"/>
          <w:sz w:val="24"/>
        </w:rPr>
        <w:t> </w:t>
      </w:r>
      <w:r>
        <w:rPr>
          <w:sz w:val="24"/>
        </w:rPr>
        <w:t>5개년</w:t>
      </w:r>
      <w:r>
        <w:rPr>
          <w:spacing w:val="45"/>
          <w:sz w:val="24"/>
        </w:rPr>
        <w:t> </w:t>
      </w:r>
      <w:r>
        <w:rPr>
          <w:spacing w:val="-5"/>
          <w:sz w:val="24"/>
        </w:rPr>
        <w:t>계획</w:t>
      </w:r>
    </w:p>
    <w:p>
      <w:pPr>
        <w:pStyle w:val="BodyText"/>
        <w:rPr>
          <w:sz w:val="26"/>
        </w:rPr>
      </w:pPr>
      <w:r>
        <w:rPr/>
        <w:pict>
          <v:group style="position:absolute;margin-left:74.540497pt;margin-top:17.893414pt;width:446pt;height:298pt;mso-position-horizontal-relative:page;mso-position-vertical-relative:paragraph;z-index:-15728128;mso-wrap-distance-left:0;mso-wrap-distance-right:0" id="docshapegroup5" coordorigin="1491,358" coordsize="8920,5960">
            <v:line style="position:absolute" from="1502,369" to="1502,6307" stroked="true" strokeweight="1.079pt" strokecolor="#000000">
              <v:stroke dashstyle="solid"/>
            </v:line>
            <v:shape style="position:absolute;left:2564;top:368;width:6830;height:5939" id="docshape6" coordorigin="2564,369" coordsize="6830,5939" path="m2564,369l2564,6307m3797,369l3797,6307m5030,369l5030,6307m6148,369l6148,6307m7268,369l7268,6307m8386,369l8386,6307m9393,369l9393,6307e" filled="false" stroked="true" strokeweight=".36pt" strokecolor="#000000">
              <v:path arrowok="t"/>
              <v:stroke dashstyle="solid"/>
            </v:shape>
            <v:shape style="position:absolute;left:1492;top:368;width:8919;height:5939" id="docshape7" coordorigin="1492,369" coordsize="8919,5939" path="m10398,369l10398,6307m1492,369l10410,369e" filled="false" stroked="true" strokeweight="1.079pt" strokecolor="#000000">
              <v:path arrowok="t"/>
              <v:stroke dashstyle="solid"/>
            </v:shape>
            <v:shape style="position:absolute;left:1492;top:850;width:8919;height:4975" id="docshape8" coordorigin="1492,851" coordsize="8919,4975" path="m1492,851l10410,851m1492,1654l10410,1654m1492,2136l10410,2136m1492,3257l10410,3257m1492,4058l10410,4058m1492,4542l10410,4542m1492,5024l10410,5024m1492,5825l10410,5825e" filled="false" stroked="true" strokeweight=".36pt" strokecolor="#000000">
              <v:path arrowok="t"/>
              <v:stroke dashstyle="solid"/>
            </v:shape>
            <v:line style="position:absolute" from="1492,6307" to="10410,6307" stroked="true" strokeweight="1.079pt" strokecolor="#000000">
              <v:stroke dashstyle="solid"/>
            </v:line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left:1832;top:509;width:421;height:210" type="#_x0000_t202" id="docshape9" filled="false" stroked="false">
              <v:textbox inset="0,0,0,0">
                <w:txbxContent>
                  <w:p>
                    <w:pPr>
                      <w:spacing w:line="210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5"/>
                        <w:sz w:val="20"/>
                      </w:rPr>
                      <w:t>소재</w:t>
                    </w:r>
                  </w:p>
                </w:txbxContent>
              </v:textbox>
              <w10:wrap type="none"/>
            </v:shape>
            <v:shape style="position:absolute;left:2981;top:509;width:419;height:210" type="#_x0000_t202" id="docshape10" filled="false" stroked="false">
              <v:textbox inset="0,0,0,0">
                <w:txbxContent>
                  <w:p>
                    <w:pPr>
                      <w:spacing w:line="210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5"/>
                        <w:sz w:val="20"/>
                      </w:rPr>
                      <w:t>지표</w:t>
                    </w:r>
                  </w:p>
                </w:txbxContent>
              </v:textbox>
              <w10:wrap type="none"/>
            </v:shape>
            <v:shape style="position:absolute;left:3905;top:509;width:2004;height:211" type="#_x0000_t202" id="docshape11" filled="false" stroked="false">
              <v:textbox inset="0,0,0,0">
                <w:txbxContent>
                  <w:p>
                    <w:pPr>
                      <w:tabs>
                        <w:tab w:pos="1383" w:val="left" w:leader="none"/>
                      </w:tabs>
                      <w:spacing w:line="211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rFonts w:ascii="Book Antiqua" w:eastAsia="Book Antiqua"/>
                        <w:spacing w:val="-5"/>
                        <w:sz w:val="20"/>
                      </w:rPr>
                      <w:t>2010</w:t>
                    </w:r>
                    <w:r>
                      <w:rPr>
                        <w:spacing w:val="-5"/>
                        <w:sz w:val="20"/>
                      </w:rPr>
                      <w:t>년</w:t>
                    </w:r>
                    <w:r>
                      <w:rPr>
                        <w:spacing w:val="-8"/>
                        <w:sz w:val="20"/>
                      </w:rPr>
                      <w:t> </w:t>
                    </w:r>
                    <w:r>
                      <w:rPr>
                        <w:spacing w:val="-5"/>
                        <w:sz w:val="20"/>
                      </w:rPr>
                      <w:t>목표</w:t>
                    </w:r>
                    <w:r>
                      <w:rPr>
                        <w:sz w:val="20"/>
                      </w:rPr>
                      <w:tab/>
                    </w:r>
                    <w:r>
                      <w:rPr>
                        <w:rFonts w:ascii="Book Antiqua" w:eastAsia="Book Antiqua"/>
                        <w:spacing w:val="-4"/>
                        <w:sz w:val="20"/>
                      </w:rPr>
                      <w:t>2006</w:t>
                    </w:r>
                    <w:r>
                      <w:rPr>
                        <w:spacing w:val="-4"/>
                        <w:sz w:val="20"/>
                      </w:rPr>
                      <w:t>년</w:t>
                    </w:r>
                  </w:p>
                </w:txbxContent>
              </v:textbox>
              <w10:wrap type="none"/>
            </v:shape>
            <v:shape style="position:absolute;left:6406;top:509;width:620;height:211" type="#_x0000_t202" id="docshape12" filled="false" stroked="false">
              <v:textbox inset="0,0,0,0">
                <w:txbxContent>
                  <w:p>
                    <w:pPr>
                      <w:spacing w:line="211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rFonts w:ascii="Book Antiqua" w:eastAsia="Book Antiqua"/>
                        <w:spacing w:val="-2"/>
                        <w:sz w:val="20"/>
                      </w:rPr>
                      <w:t>2007</w:t>
                    </w:r>
                    <w:r>
                      <w:rPr>
                        <w:spacing w:val="-2"/>
                        <w:sz w:val="20"/>
                      </w:rPr>
                      <w:t>년</w:t>
                    </w:r>
                  </w:p>
                </w:txbxContent>
              </v:textbox>
              <w10:wrap type="none"/>
            </v:shape>
            <v:shape style="position:absolute;left:7527;top:509;width:620;height:211" type="#_x0000_t202" id="docshape13" filled="false" stroked="false">
              <v:textbox inset="0,0,0,0">
                <w:txbxContent>
                  <w:p>
                    <w:pPr>
                      <w:spacing w:line="211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rFonts w:ascii="Book Antiqua" w:eastAsia="Book Antiqua"/>
                        <w:spacing w:val="-2"/>
                        <w:sz w:val="20"/>
                      </w:rPr>
                      <w:t>2008</w:t>
                    </w:r>
                    <w:r>
                      <w:rPr>
                        <w:spacing w:val="-2"/>
                        <w:sz w:val="20"/>
                      </w:rPr>
                      <w:t>년</w:t>
                    </w:r>
                  </w:p>
                </w:txbxContent>
              </v:textbox>
              <w10:wrap type="none"/>
            </v:shape>
            <v:shape style="position:absolute;left:8589;top:509;width:620;height:211" type="#_x0000_t202" id="docshape14" filled="false" stroked="false">
              <v:textbox inset="0,0,0,0">
                <w:txbxContent>
                  <w:p>
                    <w:pPr>
                      <w:spacing w:line="211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rFonts w:ascii="Book Antiqua" w:eastAsia="Book Antiqua"/>
                        <w:spacing w:val="-2"/>
                        <w:sz w:val="20"/>
                      </w:rPr>
                      <w:t>2009</w:t>
                    </w:r>
                    <w:r>
                      <w:rPr>
                        <w:spacing w:val="-2"/>
                        <w:sz w:val="20"/>
                      </w:rPr>
                      <w:t>년</w:t>
                    </w:r>
                  </w:p>
                </w:txbxContent>
              </v:textbox>
              <w10:wrap type="none"/>
            </v:shape>
            <v:shape style="position:absolute;left:9594;top:509;width:620;height:211" type="#_x0000_t202" id="docshape15" filled="false" stroked="false">
              <v:textbox inset="0,0,0,0">
                <w:txbxContent>
                  <w:p>
                    <w:pPr>
                      <w:spacing w:line="211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rFonts w:ascii="Book Antiqua" w:eastAsia="Book Antiqua"/>
                        <w:spacing w:val="-2"/>
                        <w:sz w:val="20"/>
                      </w:rPr>
                      <w:t>2010</w:t>
                    </w:r>
                    <w:r>
                      <w:rPr>
                        <w:spacing w:val="-2"/>
                        <w:sz w:val="20"/>
                      </w:rPr>
                      <w:t>년</w:t>
                    </w:r>
                  </w:p>
                </w:txbxContent>
              </v:textbox>
              <w10:wrap type="none"/>
            </v:shape>
            <v:shape style="position:absolute;left:1734;top:991;width:4200;height:532" type="#_x0000_t202" id="docshape16" filled="false" stroked="false">
              <v:textbox inset="0,0,0,0">
                <w:txbxContent>
                  <w:p>
                    <w:pPr>
                      <w:tabs>
                        <w:tab w:pos="2295" w:val="left" w:leader="none"/>
                        <w:tab w:pos="3595" w:val="left" w:leader="none"/>
                      </w:tabs>
                      <w:spacing w:line="180" w:lineRule="exact" w:before="0"/>
                      <w:ind w:left="947" w:right="0" w:firstLine="0"/>
                      <w:jc w:val="left"/>
                      <w:rPr>
                        <w:rFonts w:ascii="Book Antiqua" w:eastAsia="Book Antiqua"/>
                        <w:sz w:val="20"/>
                      </w:rPr>
                    </w:pPr>
                    <w:r>
                      <w:rPr>
                        <w:spacing w:val="-2"/>
                        <w:sz w:val="20"/>
                      </w:rPr>
                      <w:t>컬릿이용률</w:t>
                    </w:r>
                    <w:r>
                      <w:rPr>
                        <w:sz w:val="20"/>
                      </w:rPr>
                      <w:tab/>
                    </w:r>
                    <w:r>
                      <w:rPr>
                        <w:rFonts w:ascii="Book Antiqua" w:eastAsia="Book Antiqua"/>
                        <w:spacing w:val="-4"/>
                        <w:sz w:val="20"/>
                      </w:rPr>
                      <w:t>91%</w:t>
                    </w:r>
                    <w:r>
                      <w:rPr>
                        <w:spacing w:val="-4"/>
                        <w:sz w:val="20"/>
                      </w:rPr>
                      <w:t>이상</w:t>
                    </w:r>
                    <w:r>
                      <w:rPr>
                        <w:sz w:val="20"/>
                      </w:rPr>
                      <w:tab/>
                    </w:r>
                    <w:r>
                      <w:rPr>
                        <w:rFonts w:ascii="Book Antiqua" w:eastAsia="Book Antiqua"/>
                        <w:spacing w:val="-4"/>
                        <w:sz w:val="20"/>
                      </w:rPr>
                      <w:t>93.9%</w:t>
                    </w:r>
                  </w:p>
                  <w:p>
                    <w:pPr>
                      <w:spacing w:line="161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5"/>
                        <w:sz w:val="20"/>
                      </w:rPr>
                      <w:t>유리병</w:t>
                    </w:r>
                  </w:p>
                  <w:p>
                    <w:pPr>
                      <w:tabs>
                        <w:tab w:pos="2228" w:val="left" w:leader="none"/>
                        <w:tab w:pos="3528" w:val="left" w:leader="none"/>
                      </w:tabs>
                      <w:spacing w:line="192" w:lineRule="exact" w:before="0"/>
                      <w:ind w:left="971" w:right="0" w:firstLine="0"/>
                      <w:jc w:val="left"/>
                      <w:rPr>
                        <w:rFonts w:ascii="Book Antiqua" w:eastAsia="Book Antiqua"/>
                        <w:sz w:val="20"/>
                      </w:rPr>
                    </w:pPr>
                    <w:r>
                      <w:rPr>
                        <w:rFonts w:ascii="Book Antiqua" w:eastAsia="Book Antiqua"/>
                        <w:spacing w:val="-2"/>
                        <w:sz w:val="20"/>
                      </w:rPr>
                      <w:t>(</w:t>
                    </w:r>
                    <w:r>
                      <w:rPr>
                        <w:spacing w:val="-2"/>
                        <w:sz w:val="20"/>
                      </w:rPr>
                      <w:t>리사이클율</w:t>
                    </w:r>
                    <w:r>
                      <w:rPr>
                        <w:rFonts w:ascii="Book Antiqua" w:eastAsia="Book Antiqua"/>
                        <w:spacing w:val="-2"/>
                        <w:sz w:val="20"/>
                      </w:rPr>
                      <w:t>)</w:t>
                    </w:r>
                    <w:r>
                      <w:rPr>
                        <w:rFonts w:ascii="Book Antiqua" w:eastAsia="Book Antiqua"/>
                        <w:sz w:val="20"/>
                      </w:rPr>
                      <w:tab/>
                    </w:r>
                    <w:r>
                      <w:rPr>
                        <w:rFonts w:ascii="Book Antiqua" w:eastAsia="Book Antiqua"/>
                        <w:spacing w:val="-2"/>
                        <w:sz w:val="20"/>
                      </w:rPr>
                      <w:t>(70%</w:t>
                    </w:r>
                    <w:r>
                      <w:rPr>
                        <w:spacing w:val="-2"/>
                        <w:sz w:val="20"/>
                      </w:rPr>
                      <w:t>이상</w:t>
                    </w:r>
                    <w:r>
                      <w:rPr>
                        <w:rFonts w:ascii="Book Antiqua" w:eastAsia="Book Antiqua"/>
                        <w:spacing w:val="-2"/>
                        <w:sz w:val="20"/>
                      </w:rPr>
                      <w:t>)</w:t>
                    </w:r>
                    <w:r>
                      <w:rPr>
                        <w:rFonts w:ascii="Book Antiqua" w:eastAsia="Book Antiqua"/>
                        <w:sz w:val="20"/>
                      </w:rPr>
                      <w:tab/>
                    </w:r>
                    <w:r>
                      <w:rPr>
                        <w:rFonts w:ascii="Book Antiqua" w:eastAsia="Book Antiqua"/>
                        <w:spacing w:val="-2"/>
                        <w:sz w:val="20"/>
                      </w:rPr>
                      <w:t>(60.4%)</w:t>
                    </w:r>
                  </w:p>
                </w:txbxContent>
              </v:textbox>
              <w10:wrap type="none"/>
            </v:shape>
            <v:shape style="position:absolute;left:6382;top:1002;width:669;height:521" type="#_x0000_t202" id="docshape17" filled="false" stroked="false">
              <v:textbox inset="0,0,0,0">
                <w:txbxContent>
                  <w:p>
                    <w:pPr>
                      <w:spacing w:line="216" w:lineRule="exact" w:before="0"/>
                      <w:ind w:left="67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2"/>
                        <w:sz w:val="20"/>
                      </w:rPr>
                      <w:t>95.5%</w:t>
                    </w:r>
                  </w:p>
                  <w:p>
                    <w:pPr>
                      <w:spacing w:line="232" w:lineRule="exact" w:before="72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2"/>
                        <w:sz w:val="20"/>
                      </w:rPr>
                      <w:t>(63.9%)</w:t>
                    </w:r>
                  </w:p>
                </w:txbxContent>
              </v:textbox>
              <w10:wrap type="none"/>
            </v:shape>
            <v:shape style="position:absolute;left:7500;top:1002;width:672;height:521" type="#_x0000_t202" id="docshape18" filled="false" stroked="false">
              <v:textbox inset="0,0,0,0">
                <w:txbxContent>
                  <w:p>
                    <w:pPr>
                      <w:spacing w:line="216" w:lineRule="exact" w:before="0"/>
                      <w:ind w:left="67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2"/>
                        <w:sz w:val="20"/>
                      </w:rPr>
                      <w:t>96.9%</w:t>
                    </w:r>
                  </w:p>
                  <w:p>
                    <w:pPr>
                      <w:spacing w:line="232" w:lineRule="exact" w:before="72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2"/>
                        <w:sz w:val="20"/>
                      </w:rPr>
                      <w:t>(65.0%)</w:t>
                    </w:r>
                  </w:p>
                </w:txbxContent>
              </v:textbox>
              <w10:wrap type="none"/>
            </v:shape>
            <v:shape style="position:absolute;left:8563;top:1002;width:1677;height:521" type="#_x0000_t202" id="docshape19" filled="false" stroked="false">
              <v:textbox inset="0,0,0,0">
                <w:txbxContent>
                  <w:p>
                    <w:pPr>
                      <w:tabs>
                        <w:tab w:pos="1072" w:val="left" w:leader="none"/>
                      </w:tabs>
                      <w:spacing w:line="216" w:lineRule="exact" w:before="0"/>
                      <w:ind w:left="67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2"/>
                        <w:sz w:val="20"/>
                      </w:rPr>
                      <w:t>97.5%</w:t>
                    </w:r>
                    <w:r>
                      <w:rPr>
                        <w:rFonts w:ascii="Book Antiqua"/>
                        <w:sz w:val="20"/>
                      </w:rPr>
                      <w:tab/>
                    </w:r>
                    <w:r>
                      <w:rPr>
                        <w:rFonts w:ascii="Book Antiqua"/>
                        <w:spacing w:val="-2"/>
                        <w:sz w:val="20"/>
                      </w:rPr>
                      <w:t>96.8%</w:t>
                    </w:r>
                  </w:p>
                  <w:p>
                    <w:pPr>
                      <w:tabs>
                        <w:tab w:pos="1007" w:val="left" w:leader="none"/>
                      </w:tabs>
                      <w:spacing w:line="232" w:lineRule="exact" w:before="72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2"/>
                        <w:sz w:val="20"/>
                      </w:rPr>
                      <w:t>(68.0%)</w:t>
                    </w:r>
                    <w:r>
                      <w:rPr>
                        <w:rFonts w:ascii="Book Antiqua"/>
                        <w:sz w:val="20"/>
                      </w:rPr>
                      <w:tab/>
                    </w:r>
                    <w:r>
                      <w:rPr>
                        <w:rFonts w:ascii="Book Antiqua"/>
                        <w:spacing w:val="-2"/>
                        <w:sz w:val="20"/>
                      </w:rPr>
                      <w:t>(67.1%)</w:t>
                    </w:r>
                  </w:p>
                </w:txbxContent>
              </v:textbox>
              <w10:wrap type="none"/>
            </v:shape>
            <v:shape style="position:absolute;left:1650;top:1794;width:786;height:211" type="#_x0000_t202" id="docshape20" filled="false" stroked="false">
              <v:textbox inset="0,0,0,0">
                <w:txbxContent>
                  <w:p>
                    <w:pPr>
                      <w:spacing w:line="211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rFonts w:ascii="Book Antiqua" w:eastAsia="Book Antiqua"/>
                        <w:spacing w:val="-2"/>
                        <w:sz w:val="20"/>
                      </w:rPr>
                      <w:t>PET</w:t>
                    </w:r>
                    <w:r>
                      <w:rPr>
                        <w:spacing w:val="-2"/>
                        <w:sz w:val="20"/>
                      </w:rPr>
                      <w:t>보틀</w:t>
                    </w:r>
                  </w:p>
                </w:txbxContent>
              </v:textbox>
              <w10:wrap type="none"/>
            </v:shape>
            <v:shape style="position:absolute;left:2880;top:1794;width:620;height:210" type="#_x0000_t202" id="docshape21" filled="false" stroked="false">
              <v:textbox inset="0,0,0,0">
                <w:txbxContent>
                  <w:p>
                    <w:pPr>
                      <w:spacing w:line="210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5"/>
                        <w:sz w:val="20"/>
                      </w:rPr>
                      <w:t>회수율</w:t>
                    </w:r>
                  </w:p>
                </w:txbxContent>
              </v:textbox>
              <w10:wrap type="none"/>
            </v:shape>
            <v:shape style="position:absolute;left:4029;top:1794;width:788;height:211" type="#_x0000_t202" id="docshape22" filled="false" stroked="false">
              <v:textbox inset="0,0,0,0">
                <w:txbxContent>
                  <w:p>
                    <w:pPr>
                      <w:spacing w:line="211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rFonts w:ascii="Book Antiqua" w:eastAsia="Book Antiqua"/>
                        <w:spacing w:val="-2"/>
                        <w:sz w:val="20"/>
                      </w:rPr>
                      <w:t>75%</w:t>
                    </w:r>
                    <w:r>
                      <w:rPr>
                        <w:spacing w:val="-2"/>
                        <w:sz w:val="20"/>
                      </w:rPr>
                      <w:t>이상</w:t>
                    </w:r>
                  </w:p>
                </w:txbxContent>
              </v:textbox>
              <w10:wrap type="none"/>
            </v:shape>
            <v:shape style="position:absolute;left:5329;top:1805;width:538;height:199" type="#_x0000_t202" id="docshape23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2"/>
                        <w:sz w:val="20"/>
                      </w:rPr>
                      <w:t>66.3%</w:t>
                    </w:r>
                  </w:p>
                </w:txbxContent>
              </v:textbox>
              <w10:wrap type="none"/>
            </v:shape>
            <v:shape style="position:absolute;left:6450;top:1805;width:535;height:199" type="#_x0000_t202" id="docshape24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2"/>
                        <w:sz w:val="20"/>
                      </w:rPr>
                      <w:t>69.2%</w:t>
                    </w:r>
                  </w:p>
                </w:txbxContent>
              </v:textbox>
              <w10:wrap type="none"/>
            </v:shape>
            <v:shape style="position:absolute;left:7567;top:1805;width:538;height:199" type="#_x0000_t202" id="docshape25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2"/>
                        <w:sz w:val="20"/>
                      </w:rPr>
                      <w:t>78.0%</w:t>
                    </w:r>
                  </w:p>
                </w:txbxContent>
              </v:textbox>
              <w10:wrap type="none"/>
            </v:shape>
            <v:shape style="position:absolute;left:8630;top:1805;width:538;height:199" type="#_x0000_t202" id="docshape26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2"/>
                        <w:sz w:val="20"/>
                      </w:rPr>
                      <w:t>77.5%</w:t>
                    </w:r>
                  </w:p>
                </w:txbxContent>
              </v:textbox>
              <w10:wrap type="none"/>
            </v:shape>
            <v:shape style="position:absolute;left:9635;top:1805;width:538;height:199" type="#_x0000_t202" id="docshape27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2"/>
                        <w:sz w:val="20"/>
                      </w:rPr>
                      <w:t>72.1%</w:t>
                    </w:r>
                  </w:p>
                </w:txbxContent>
              </v:textbox>
              <w10:wrap type="none"/>
            </v:shape>
            <v:shape style="position:absolute;left:1633;top:2595;width:819;height:210" type="#_x0000_t202" id="docshape28" filled="false" stroked="false">
              <v:textbox inset="0,0,0,0">
                <w:txbxContent>
                  <w:p>
                    <w:pPr>
                      <w:spacing w:line="210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4"/>
                        <w:sz w:val="20"/>
                      </w:rPr>
                      <w:t>종이용기</w:t>
                    </w:r>
                  </w:p>
                </w:txbxContent>
              </v:textbox>
              <w10:wrap type="none"/>
            </v:shape>
            <v:shape style="position:absolute;left:2880;top:2595;width:620;height:210" type="#_x0000_t202" id="docshape29" filled="false" stroked="false">
              <v:textbox inset="0,0,0,0">
                <w:txbxContent>
                  <w:p>
                    <w:pPr>
                      <w:spacing w:line="210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5"/>
                        <w:sz w:val="20"/>
                      </w:rPr>
                      <w:t>회수율</w:t>
                    </w:r>
                  </w:p>
                </w:txbxContent>
              </v:textbox>
              <w10:wrap type="none"/>
            </v:shape>
            <v:shape style="position:absolute;left:4029;top:2287;width:6255;height:840" type="#_x0000_t202" id="docshape30" filled="false" stroked="false">
              <v:textbox inset="0,0,0,0">
                <w:txbxContent>
                  <w:p>
                    <w:pPr>
                      <w:tabs>
                        <w:tab w:pos="5591" w:val="left" w:leader="none"/>
                      </w:tabs>
                      <w:spacing w:line="172" w:lineRule="exact" w:before="0"/>
                      <w:ind w:left="4586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2"/>
                        <w:w w:val="120"/>
                        <w:sz w:val="20"/>
                      </w:rPr>
                      <w:t>19.1%</w:t>
                    </w:r>
                    <w:r>
                      <w:rPr>
                        <w:rFonts w:ascii="Book Antiqua"/>
                        <w:sz w:val="20"/>
                      </w:rPr>
                      <w:tab/>
                    </w:r>
                    <w:r>
                      <w:rPr>
                        <w:rFonts w:ascii="Book Antiqua"/>
                        <w:spacing w:val="-4"/>
                        <w:w w:val="120"/>
                        <w:sz w:val="20"/>
                      </w:rPr>
                      <w:t>20.3%</w:t>
                    </w:r>
                  </w:p>
                  <w:p>
                    <w:pPr>
                      <w:tabs>
                        <w:tab w:pos="1120" w:val="left" w:leader="none"/>
                        <w:tab w:pos="2276" w:val="left" w:leader="none"/>
                      </w:tabs>
                      <w:spacing w:line="155" w:lineRule="exact" w:before="0"/>
                      <w:ind w:left="0" w:right="935" w:firstLine="0"/>
                      <w:jc w:val="center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2"/>
                        <w:w w:val="105"/>
                        <w:sz w:val="20"/>
                      </w:rPr>
                      <w:t>15.2%</w:t>
                    </w:r>
                    <w:r>
                      <w:rPr>
                        <w:rFonts w:ascii="Book Antiqua"/>
                        <w:sz w:val="20"/>
                      </w:rPr>
                      <w:tab/>
                    </w:r>
                    <w:r>
                      <w:rPr>
                        <w:rFonts w:ascii="Book Antiqua"/>
                        <w:spacing w:val="-4"/>
                        <w:w w:val="105"/>
                        <w:sz w:val="20"/>
                      </w:rPr>
                      <w:t>15.4%</w:t>
                    </w:r>
                    <w:r>
                      <w:rPr>
                        <w:rFonts w:ascii="Book Antiqua"/>
                        <w:sz w:val="20"/>
                      </w:rPr>
                      <w:tab/>
                    </w:r>
                    <w:r>
                      <w:rPr>
                        <w:rFonts w:ascii="Book Antiqua"/>
                        <w:spacing w:val="-2"/>
                        <w:w w:val="105"/>
                        <w:sz w:val="20"/>
                      </w:rPr>
                      <w:t>14.2%</w:t>
                    </w:r>
                  </w:p>
                  <w:p>
                    <w:pPr>
                      <w:tabs>
                        <w:tab w:pos="4526" w:val="left" w:leader="none"/>
                        <w:tab w:pos="5533" w:val="left" w:leader="none"/>
                      </w:tabs>
                      <w:spacing w:line="160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rFonts w:ascii="Book Antiqua" w:eastAsia="Book Antiqua"/>
                        <w:spacing w:val="-2"/>
                        <w:w w:val="105"/>
                        <w:sz w:val="20"/>
                      </w:rPr>
                      <w:t>20%</w:t>
                    </w:r>
                    <w:r>
                      <w:rPr>
                        <w:spacing w:val="-2"/>
                        <w:w w:val="105"/>
                        <w:sz w:val="20"/>
                      </w:rPr>
                      <w:t>이상</w:t>
                    </w:r>
                    <w:r>
                      <w:rPr>
                        <w:sz w:val="20"/>
                      </w:rPr>
                      <w:tab/>
                    </w:r>
                    <w:r>
                      <w:rPr>
                        <w:rFonts w:ascii="Book Antiqua" w:eastAsia="Book Antiqua"/>
                        <w:spacing w:val="-4"/>
                        <w:w w:val="105"/>
                        <w:sz w:val="20"/>
                      </w:rPr>
                      <w:t>(</w:t>
                    </w:r>
                    <w:r>
                      <w:rPr>
                        <w:spacing w:val="-4"/>
                        <w:w w:val="105"/>
                        <w:sz w:val="20"/>
                      </w:rPr>
                      <w:t>행정회</w:t>
                    </w:r>
                    <w:r>
                      <w:rPr>
                        <w:sz w:val="20"/>
                      </w:rPr>
                      <w:tab/>
                    </w:r>
                    <w:r>
                      <w:rPr>
                        <w:rFonts w:ascii="Book Antiqua" w:eastAsia="Book Antiqua"/>
                        <w:spacing w:val="-4"/>
                        <w:w w:val="105"/>
                        <w:sz w:val="20"/>
                      </w:rPr>
                      <w:t>(</w:t>
                    </w:r>
                    <w:r>
                      <w:rPr>
                        <w:spacing w:val="-4"/>
                        <w:w w:val="105"/>
                        <w:sz w:val="20"/>
                      </w:rPr>
                      <w:t>행정회</w:t>
                    </w:r>
                  </w:p>
                  <w:p>
                    <w:pPr>
                      <w:tabs>
                        <w:tab w:pos="1120" w:val="left" w:leader="none"/>
                        <w:tab w:pos="2237" w:val="left" w:leader="none"/>
                      </w:tabs>
                      <w:spacing w:line="161" w:lineRule="exact" w:before="0"/>
                      <w:ind w:left="0" w:right="896" w:firstLine="0"/>
                      <w:jc w:val="center"/>
                      <w:rPr>
                        <w:rFonts w:ascii="Book Antiqua" w:eastAsia="Book Antiqua"/>
                        <w:sz w:val="20"/>
                      </w:rPr>
                    </w:pPr>
                    <w:r>
                      <w:rPr>
                        <w:rFonts w:ascii="Book Antiqua" w:eastAsia="Book Antiqua"/>
                        <w:spacing w:val="-5"/>
                        <w:sz w:val="20"/>
                      </w:rPr>
                      <w:t>(</w:t>
                    </w:r>
                    <w:r>
                      <w:rPr>
                        <w:spacing w:val="-5"/>
                        <w:sz w:val="20"/>
                      </w:rPr>
                      <w:t>행정회수만</w:t>
                    </w:r>
                    <w:r>
                      <w:rPr>
                        <w:rFonts w:ascii="Book Antiqua" w:eastAsia="Book Antiqua"/>
                        <w:spacing w:val="-5"/>
                        <w:sz w:val="20"/>
                      </w:rPr>
                      <w:t>)</w:t>
                    </w:r>
                    <w:r>
                      <w:rPr>
                        <w:rFonts w:ascii="Book Antiqua" w:eastAsia="Book Antiqua"/>
                        <w:sz w:val="20"/>
                      </w:rPr>
                      <w:tab/>
                    </w:r>
                    <w:r>
                      <w:rPr>
                        <w:rFonts w:ascii="Book Antiqua" w:eastAsia="Book Antiqua"/>
                        <w:spacing w:val="-5"/>
                        <w:sz w:val="20"/>
                      </w:rPr>
                      <w:t>(</w:t>
                    </w:r>
                    <w:r>
                      <w:rPr>
                        <w:spacing w:val="-5"/>
                        <w:sz w:val="20"/>
                      </w:rPr>
                      <w:t>행정회수만</w:t>
                    </w:r>
                    <w:r>
                      <w:rPr>
                        <w:rFonts w:ascii="Book Antiqua" w:eastAsia="Book Antiqua"/>
                        <w:spacing w:val="-5"/>
                        <w:sz w:val="20"/>
                      </w:rPr>
                      <w:t>)</w:t>
                    </w:r>
                    <w:r>
                      <w:rPr>
                        <w:rFonts w:ascii="Book Antiqua" w:eastAsia="Book Antiqua"/>
                        <w:sz w:val="20"/>
                      </w:rPr>
                      <w:tab/>
                    </w:r>
                    <w:r>
                      <w:rPr>
                        <w:rFonts w:ascii="Book Antiqua" w:eastAsia="Book Antiqua"/>
                        <w:spacing w:val="-10"/>
                        <w:sz w:val="20"/>
                      </w:rPr>
                      <w:t>(</w:t>
                    </w:r>
                    <w:r>
                      <w:rPr>
                        <w:spacing w:val="-10"/>
                        <w:sz w:val="20"/>
                      </w:rPr>
                      <w:t>행정회수만</w:t>
                    </w:r>
                    <w:r>
                      <w:rPr>
                        <w:rFonts w:ascii="Book Antiqua" w:eastAsia="Book Antiqua"/>
                        <w:spacing w:val="-10"/>
                        <w:sz w:val="20"/>
                      </w:rPr>
                      <w:t>)</w:t>
                    </w:r>
                  </w:p>
                  <w:p>
                    <w:pPr>
                      <w:tabs>
                        <w:tab w:pos="5495" w:val="left" w:leader="none"/>
                      </w:tabs>
                      <w:spacing w:line="192" w:lineRule="exact" w:before="0"/>
                      <w:ind w:left="4490" w:right="0" w:firstLine="0"/>
                      <w:jc w:val="left"/>
                      <w:rPr>
                        <w:rFonts w:ascii="Book Antiqua" w:eastAsia="Book Antiqua"/>
                        <w:sz w:val="20"/>
                      </w:rPr>
                    </w:pPr>
                    <w:r>
                      <w:rPr>
                        <w:spacing w:val="-2"/>
                        <w:w w:val="115"/>
                        <w:sz w:val="20"/>
                      </w:rPr>
                      <w:t>수</w:t>
                    </w:r>
                    <w:r>
                      <w:rPr>
                        <w:rFonts w:ascii="Book Antiqua" w:eastAsia="Book Antiqua"/>
                        <w:spacing w:val="-2"/>
                        <w:w w:val="115"/>
                        <w:sz w:val="20"/>
                      </w:rPr>
                      <w:t>13.9%)</w:t>
                    </w:r>
                    <w:r>
                      <w:rPr>
                        <w:rFonts w:ascii="Book Antiqua" w:eastAsia="Book Antiqua"/>
                        <w:sz w:val="20"/>
                      </w:rPr>
                      <w:tab/>
                    </w:r>
                    <w:r>
                      <w:rPr>
                        <w:spacing w:val="-23"/>
                        <w:w w:val="115"/>
                        <w:sz w:val="20"/>
                      </w:rPr>
                      <w:t>수</w:t>
                    </w:r>
                    <w:r>
                      <w:rPr>
                        <w:rFonts w:ascii="Book Antiqua" w:eastAsia="Book Antiqua"/>
                        <w:spacing w:val="-23"/>
                        <w:w w:val="115"/>
                        <w:sz w:val="20"/>
                      </w:rPr>
                      <w:t>13.9%)</w:t>
                    </w:r>
                  </w:p>
                </w:txbxContent>
              </v:textbox>
              <w10:wrap type="none"/>
            </v:shape>
            <v:shape style="position:absolute;left:1633;top:3398;width:819;height:529" type="#_x0000_t202" id="docshape31" filled="false" stroked="false">
              <v:textbox inset="0,0,0,0">
                <w:txbxContent>
                  <w:p>
                    <w:pPr>
                      <w:spacing w:line="228" w:lineRule="exact" w:before="0"/>
                      <w:ind w:left="8" w:right="26" w:firstLine="0"/>
                      <w:jc w:val="center"/>
                      <w:rPr>
                        <w:sz w:val="20"/>
                      </w:rPr>
                    </w:pPr>
                    <w:r>
                      <w:rPr>
                        <w:spacing w:val="-4"/>
                        <w:w w:val="95"/>
                        <w:sz w:val="20"/>
                      </w:rPr>
                      <w:t>플라스틱</w:t>
                    </w:r>
                  </w:p>
                  <w:p>
                    <w:pPr>
                      <w:spacing w:line="239" w:lineRule="exact" w:before="62"/>
                      <w:ind w:left="8" w:right="26" w:firstLine="0"/>
                      <w:jc w:val="center"/>
                      <w:rPr>
                        <w:sz w:val="20"/>
                      </w:rPr>
                    </w:pPr>
                    <w:r>
                      <w:rPr>
                        <w:spacing w:val="-5"/>
                        <w:sz w:val="20"/>
                      </w:rPr>
                      <w:t>용기</w:t>
                    </w:r>
                  </w:p>
                </w:txbxContent>
              </v:textbox>
              <w10:wrap type="none"/>
            </v:shape>
            <v:shape style="position:absolute;left:2880;top:3556;width:620;height:210" type="#_x0000_t202" id="docshape32" filled="false" stroked="false">
              <v:textbox inset="0,0,0,0">
                <w:txbxContent>
                  <w:p>
                    <w:pPr>
                      <w:spacing w:line="210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5"/>
                        <w:sz w:val="20"/>
                      </w:rPr>
                      <w:t>수집율</w:t>
                    </w:r>
                  </w:p>
                </w:txbxContent>
              </v:textbox>
              <w10:wrap type="none"/>
            </v:shape>
            <v:shape style="position:absolute;left:4029;top:3556;width:788;height:211" type="#_x0000_t202" id="docshape33" filled="false" stroked="false">
              <v:textbox inset="0,0,0,0">
                <w:txbxContent>
                  <w:p>
                    <w:pPr>
                      <w:spacing w:line="211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rFonts w:ascii="Book Antiqua" w:eastAsia="Book Antiqua"/>
                        <w:spacing w:val="-2"/>
                        <w:sz w:val="20"/>
                      </w:rPr>
                      <w:t>75%</w:t>
                    </w:r>
                    <w:r>
                      <w:rPr>
                        <w:spacing w:val="-2"/>
                        <w:sz w:val="20"/>
                      </w:rPr>
                      <w:t>이상</w:t>
                    </w:r>
                  </w:p>
                </w:txbxContent>
              </v:textbox>
              <w10:wrap type="none"/>
            </v:shape>
            <v:shape style="position:absolute;left:5329;top:3568;width:538;height:199" type="#_x0000_t202" id="docshape34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2"/>
                        <w:sz w:val="20"/>
                      </w:rPr>
                      <w:t>54.0%</w:t>
                    </w:r>
                  </w:p>
                </w:txbxContent>
              </v:textbox>
              <w10:wrap type="none"/>
            </v:shape>
            <v:shape style="position:absolute;left:6450;top:3568;width:535;height:199" type="#_x0000_t202" id="docshape35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2"/>
                        <w:sz w:val="20"/>
                      </w:rPr>
                      <w:t>58.1%</w:t>
                    </w:r>
                  </w:p>
                </w:txbxContent>
              </v:textbox>
              <w10:wrap type="none"/>
            </v:shape>
            <v:shape style="position:absolute;left:7567;top:3568;width:538;height:199" type="#_x0000_t202" id="docshape36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2"/>
                        <w:sz w:val="20"/>
                      </w:rPr>
                      <w:t>59.0%</w:t>
                    </w:r>
                  </w:p>
                </w:txbxContent>
              </v:textbox>
              <w10:wrap type="none"/>
            </v:shape>
            <v:shape style="position:absolute;left:8630;top:3568;width:538;height:199" type="#_x0000_t202" id="docshape37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2"/>
                        <w:sz w:val="20"/>
                      </w:rPr>
                      <w:t>60.4%</w:t>
                    </w:r>
                  </w:p>
                </w:txbxContent>
              </v:textbox>
              <w10:wrap type="none"/>
            </v:shape>
            <v:shape style="position:absolute;left:9635;top:3568;width:538;height:199" type="#_x0000_t202" id="docshape38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2"/>
                        <w:sz w:val="20"/>
                      </w:rPr>
                      <w:t>60.1%</w:t>
                    </w:r>
                  </w:p>
                </w:txbxContent>
              </v:textbox>
              <w10:wrap type="none"/>
            </v:shape>
            <v:shape style="position:absolute;left:1734;top:4198;width:3084;height:211" type="#_x0000_t202" id="docshape39" filled="false" stroked="false">
              <v:textbox inset="0,0,0,0">
                <w:txbxContent>
                  <w:p>
                    <w:pPr>
                      <w:tabs>
                        <w:tab w:pos="992" w:val="left" w:leader="none"/>
                        <w:tab w:pos="2295" w:val="left" w:leader="none"/>
                      </w:tabs>
                      <w:spacing w:line="211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5"/>
                        <w:sz w:val="20"/>
                      </w:rPr>
                      <w:t>스틸캔</w:t>
                    </w:r>
                    <w:r>
                      <w:rPr>
                        <w:sz w:val="20"/>
                      </w:rPr>
                      <w:tab/>
                    </w:r>
                    <w:r>
                      <w:rPr>
                        <w:spacing w:val="-4"/>
                        <w:sz w:val="20"/>
                      </w:rPr>
                      <w:t>리사이클율</w:t>
                    </w:r>
                    <w:r>
                      <w:rPr>
                        <w:sz w:val="20"/>
                      </w:rPr>
                      <w:tab/>
                    </w:r>
                    <w:r>
                      <w:rPr>
                        <w:rFonts w:ascii="Book Antiqua" w:eastAsia="Book Antiqua"/>
                        <w:spacing w:val="-4"/>
                        <w:sz w:val="20"/>
                      </w:rPr>
                      <w:t>85%</w:t>
                    </w:r>
                    <w:r>
                      <w:rPr>
                        <w:spacing w:val="-4"/>
                        <w:sz w:val="20"/>
                      </w:rPr>
                      <w:t>이상</w:t>
                    </w:r>
                  </w:p>
                </w:txbxContent>
              </v:textbox>
              <w10:wrap type="none"/>
            </v:shape>
            <v:shape style="position:absolute;left:5329;top:4210;width:538;height:199" type="#_x0000_t202" id="docshape40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2"/>
                        <w:sz w:val="20"/>
                      </w:rPr>
                      <w:t>88.1%</w:t>
                    </w:r>
                  </w:p>
                </w:txbxContent>
              </v:textbox>
              <w10:wrap type="none"/>
            </v:shape>
            <v:shape style="position:absolute;left:6450;top:4210;width:535;height:199" type="#_x0000_t202" id="docshape41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2"/>
                        <w:sz w:val="20"/>
                      </w:rPr>
                      <w:t>85.1%</w:t>
                    </w:r>
                  </w:p>
                </w:txbxContent>
              </v:textbox>
              <w10:wrap type="none"/>
            </v:shape>
            <v:shape style="position:absolute;left:7567;top:4210;width:538;height:199" type="#_x0000_t202" id="docshape42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2"/>
                        <w:sz w:val="20"/>
                      </w:rPr>
                      <w:t>88.5%</w:t>
                    </w:r>
                  </w:p>
                </w:txbxContent>
              </v:textbox>
              <w10:wrap type="none"/>
            </v:shape>
            <v:shape style="position:absolute;left:8630;top:4210;width:538;height:199" type="#_x0000_t202" id="docshape43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2"/>
                        <w:sz w:val="20"/>
                      </w:rPr>
                      <w:t>89.1%</w:t>
                    </w:r>
                  </w:p>
                </w:txbxContent>
              </v:textbox>
              <w10:wrap type="none"/>
            </v:shape>
            <v:shape style="position:absolute;left:9635;top:4210;width:538;height:199" type="#_x0000_t202" id="docshape44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2"/>
                        <w:sz w:val="20"/>
                      </w:rPr>
                      <w:t>89.4%</w:t>
                    </w:r>
                  </w:p>
                </w:txbxContent>
              </v:textbox>
              <w10:wrap type="none"/>
            </v:shape>
            <v:shape style="position:absolute;left:1604;top:4680;width:3213;height:211" type="#_x0000_t202" id="docshape45" filled="false" stroked="false">
              <v:textbox inset="0,0,0,0">
                <w:txbxContent>
                  <w:p>
                    <w:pPr>
                      <w:tabs>
                        <w:tab w:pos="1122" w:val="left" w:leader="none"/>
                        <w:tab w:pos="2424" w:val="left" w:leader="none"/>
                      </w:tabs>
                      <w:spacing w:line="211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2"/>
                        <w:sz w:val="20"/>
                      </w:rPr>
                      <w:t>알루미늄캔</w:t>
                    </w:r>
                    <w:r>
                      <w:rPr>
                        <w:sz w:val="20"/>
                      </w:rPr>
                      <w:tab/>
                    </w:r>
                    <w:r>
                      <w:rPr>
                        <w:spacing w:val="-4"/>
                        <w:sz w:val="20"/>
                      </w:rPr>
                      <w:t>리사이클율</w:t>
                    </w:r>
                    <w:r>
                      <w:rPr>
                        <w:sz w:val="20"/>
                      </w:rPr>
                      <w:tab/>
                    </w:r>
                    <w:r>
                      <w:rPr>
                        <w:rFonts w:ascii="Book Antiqua" w:eastAsia="Book Antiqua"/>
                        <w:spacing w:val="-4"/>
                        <w:sz w:val="20"/>
                      </w:rPr>
                      <w:t>90%</w:t>
                    </w:r>
                    <w:r>
                      <w:rPr>
                        <w:spacing w:val="-4"/>
                        <w:sz w:val="20"/>
                      </w:rPr>
                      <w:t>이상</w:t>
                    </w:r>
                  </w:p>
                </w:txbxContent>
              </v:textbox>
              <w10:wrap type="none"/>
            </v:shape>
            <v:shape style="position:absolute;left:5329;top:4692;width:538;height:199" type="#_x0000_t202" id="docshape46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2"/>
                        <w:sz w:val="20"/>
                      </w:rPr>
                      <w:t>90.9%</w:t>
                    </w:r>
                  </w:p>
                </w:txbxContent>
              </v:textbox>
              <w10:wrap type="none"/>
            </v:shape>
            <v:shape style="position:absolute;left:6450;top:4692;width:535;height:199" type="#_x0000_t202" id="docshape47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2"/>
                        <w:sz w:val="20"/>
                      </w:rPr>
                      <w:t>92.7%</w:t>
                    </w:r>
                  </w:p>
                </w:txbxContent>
              </v:textbox>
              <w10:wrap type="none"/>
            </v:shape>
            <v:shape style="position:absolute;left:7567;top:4692;width:538;height:199" type="#_x0000_t202" id="docshape48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2"/>
                        <w:sz w:val="20"/>
                      </w:rPr>
                      <w:t>87.3%</w:t>
                    </w:r>
                  </w:p>
                </w:txbxContent>
              </v:textbox>
              <w10:wrap type="none"/>
            </v:shape>
            <v:shape style="position:absolute;left:8630;top:4692;width:538;height:199" type="#_x0000_t202" id="docshape49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2"/>
                        <w:sz w:val="20"/>
                      </w:rPr>
                      <w:t>93.4%</w:t>
                    </w:r>
                  </w:p>
                </w:txbxContent>
              </v:textbox>
              <w10:wrap type="none"/>
            </v:shape>
            <v:shape style="position:absolute;left:9635;top:4692;width:538;height:199" type="#_x0000_t202" id="docshape50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2"/>
                        <w:sz w:val="20"/>
                      </w:rPr>
                      <w:t>92.6%</w:t>
                    </w:r>
                  </w:p>
                </w:txbxContent>
              </v:textbox>
              <w10:wrap type="none"/>
            </v:shape>
            <v:shape style="position:absolute;left:1633;top:5165;width:819;height:529" type="#_x0000_t202" id="docshape51" filled="false" stroked="false">
              <v:textbox inset="0,0,0,0">
                <w:txbxContent>
                  <w:p>
                    <w:pPr>
                      <w:spacing w:line="228" w:lineRule="exact" w:before="0"/>
                      <w:ind w:left="8" w:right="26" w:firstLine="0"/>
                      <w:jc w:val="center"/>
                      <w:rPr>
                        <w:sz w:val="20"/>
                      </w:rPr>
                    </w:pPr>
                    <w:r>
                      <w:rPr>
                        <w:spacing w:val="-4"/>
                        <w:w w:val="95"/>
                        <w:sz w:val="20"/>
                      </w:rPr>
                      <w:t>음료종이</w:t>
                    </w:r>
                  </w:p>
                  <w:p>
                    <w:pPr>
                      <w:spacing w:line="239" w:lineRule="exact" w:before="62"/>
                      <w:ind w:left="8" w:right="26" w:firstLine="0"/>
                      <w:jc w:val="center"/>
                      <w:rPr>
                        <w:sz w:val="20"/>
                      </w:rPr>
                    </w:pPr>
                    <w:r>
                      <w:rPr>
                        <w:spacing w:val="-5"/>
                        <w:sz w:val="20"/>
                      </w:rPr>
                      <w:t>용기</w:t>
                    </w:r>
                  </w:p>
                </w:txbxContent>
              </v:textbox>
              <w10:wrap type="none"/>
            </v:shape>
            <v:shape style="position:absolute;left:2880;top:5323;width:620;height:210" type="#_x0000_t202" id="docshape52" filled="false" stroked="false">
              <v:textbox inset="0,0,0,0">
                <w:txbxContent>
                  <w:p>
                    <w:pPr>
                      <w:spacing w:line="210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5"/>
                        <w:sz w:val="20"/>
                      </w:rPr>
                      <w:t>회수율</w:t>
                    </w:r>
                  </w:p>
                </w:txbxContent>
              </v:textbox>
              <w10:wrap type="none"/>
            </v:shape>
            <v:shape style="position:absolute;left:4029;top:5323;width:788;height:211" type="#_x0000_t202" id="docshape53" filled="false" stroked="false">
              <v:textbox inset="0,0,0,0">
                <w:txbxContent>
                  <w:p>
                    <w:pPr>
                      <w:spacing w:line="211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rFonts w:ascii="Book Antiqua" w:eastAsia="Book Antiqua"/>
                        <w:spacing w:val="-2"/>
                        <w:sz w:val="20"/>
                      </w:rPr>
                      <w:t>50%</w:t>
                    </w:r>
                    <w:r>
                      <w:rPr>
                        <w:spacing w:val="-2"/>
                        <w:sz w:val="20"/>
                      </w:rPr>
                      <w:t>이상</w:t>
                    </w:r>
                  </w:p>
                </w:txbxContent>
              </v:textbox>
              <w10:wrap type="none"/>
            </v:shape>
            <v:shape style="position:absolute;left:5329;top:5334;width:538;height:199" type="#_x0000_t202" id="docshape54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2"/>
                        <w:sz w:val="20"/>
                      </w:rPr>
                      <w:t>37.4%</w:t>
                    </w:r>
                  </w:p>
                </w:txbxContent>
              </v:textbox>
              <w10:wrap type="none"/>
            </v:shape>
            <v:shape style="position:absolute;left:6450;top:5334;width:535;height:199" type="#_x0000_t202" id="docshape55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2"/>
                        <w:sz w:val="20"/>
                      </w:rPr>
                      <w:t>41.1%</w:t>
                    </w:r>
                  </w:p>
                </w:txbxContent>
              </v:textbox>
              <w10:wrap type="none"/>
            </v:shape>
            <v:shape style="position:absolute;left:7567;top:5334;width:538;height:199" type="#_x0000_t202" id="docshape56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2"/>
                        <w:sz w:val="20"/>
                      </w:rPr>
                      <w:t>42.6%</w:t>
                    </w:r>
                  </w:p>
                </w:txbxContent>
              </v:textbox>
              <w10:wrap type="none"/>
            </v:shape>
            <v:shape style="position:absolute;left:8630;top:5334;width:538;height:199" type="#_x0000_t202" id="docshape57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2"/>
                        <w:sz w:val="20"/>
                      </w:rPr>
                      <w:t>43.5%</w:t>
                    </w:r>
                  </w:p>
                </w:txbxContent>
              </v:textbox>
              <w10:wrap type="none"/>
            </v:shape>
            <v:shape style="position:absolute;left:9635;top:5334;width:538;height:199" type="#_x0000_t202" id="docshape58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2"/>
                        <w:sz w:val="20"/>
                      </w:rPr>
                      <w:t>43.6%</w:t>
                    </w:r>
                  </w:p>
                </w:txbxContent>
              </v:textbox>
              <w10:wrap type="none"/>
            </v:shape>
            <v:shape style="position:absolute;left:1734;top:5965;width:618;height:210" type="#_x0000_t202" id="docshape59" filled="false" stroked="false">
              <v:textbox inset="0,0,0,0">
                <w:txbxContent>
                  <w:p>
                    <w:pPr>
                      <w:spacing w:line="210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5"/>
                        <w:sz w:val="20"/>
                      </w:rPr>
                      <w:t>골판지</w:t>
                    </w:r>
                  </w:p>
                </w:txbxContent>
              </v:textbox>
              <w10:wrap type="none"/>
            </v:shape>
            <v:shape style="position:absolute;left:2880;top:5965;width:620;height:210" type="#_x0000_t202" id="docshape60" filled="false" stroked="false">
              <v:textbox inset="0,0,0,0">
                <w:txbxContent>
                  <w:p>
                    <w:pPr>
                      <w:spacing w:line="210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5"/>
                        <w:sz w:val="20"/>
                      </w:rPr>
                      <w:t>회수율</w:t>
                    </w:r>
                  </w:p>
                </w:txbxContent>
              </v:textbox>
              <w10:wrap type="none"/>
            </v:shape>
            <v:shape style="position:absolute;left:4029;top:5965;width:788;height:211" type="#_x0000_t202" id="docshape61" filled="false" stroked="false">
              <v:textbox inset="0,0,0,0">
                <w:txbxContent>
                  <w:p>
                    <w:pPr>
                      <w:spacing w:line="211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rFonts w:ascii="Book Antiqua" w:eastAsia="Book Antiqua"/>
                        <w:spacing w:val="-2"/>
                        <w:sz w:val="20"/>
                      </w:rPr>
                      <w:t>90%</w:t>
                    </w:r>
                    <w:r>
                      <w:rPr>
                        <w:spacing w:val="-2"/>
                        <w:sz w:val="20"/>
                      </w:rPr>
                      <w:t>이상</w:t>
                    </w:r>
                  </w:p>
                </w:txbxContent>
              </v:textbox>
              <w10:wrap type="none"/>
            </v:shape>
            <v:shape style="position:absolute;left:5329;top:5977;width:538;height:199" type="#_x0000_t202" id="docshape62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2"/>
                        <w:sz w:val="20"/>
                      </w:rPr>
                      <w:t>92.2%</w:t>
                    </w:r>
                  </w:p>
                </w:txbxContent>
              </v:textbox>
              <w10:wrap type="none"/>
            </v:shape>
            <v:shape style="position:absolute;left:6450;top:5977;width:535;height:199" type="#_x0000_t202" id="docshape63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2"/>
                        <w:sz w:val="20"/>
                      </w:rPr>
                      <w:t>94.4%</w:t>
                    </w:r>
                  </w:p>
                </w:txbxContent>
              </v:textbox>
              <w10:wrap type="none"/>
            </v:shape>
            <v:shape style="position:absolute;left:7567;top:5977;width:538;height:199" type="#_x0000_t202" id="docshape64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2"/>
                        <w:sz w:val="20"/>
                      </w:rPr>
                      <w:t>95.1%</w:t>
                    </w:r>
                  </w:p>
                </w:txbxContent>
              </v:textbox>
              <w10:wrap type="none"/>
            </v:shape>
            <v:shape style="position:absolute;left:8580;top:5977;width:638;height:199" type="#_x0000_t202" id="docshape65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2"/>
                        <w:sz w:val="20"/>
                      </w:rPr>
                      <w:t>100.6%</w:t>
                    </w:r>
                  </w:p>
                </w:txbxContent>
              </v:textbox>
              <w10:wrap type="none"/>
            </v:shape>
            <v:shape style="position:absolute;left:9635;top:5977;width:538;height:199" type="#_x0000_t202" id="docshape66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2"/>
                        <w:sz w:val="20"/>
                      </w:rPr>
                      <w:t>99.3%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</w:p>
    <w:p>
      <w:pPr>
        <w:pStyle w:val="BodyText"/>
        <w:spacing w:before="6"/>
        <w:rPr>
          <w:sz w:val="23"/>
        </w:rPr>
      </w:pPr>
    </w:p>
    <w:p>
      <w:pPr>
        <w:spacing w:line="300" w:lineRule="auto" w:before="52"/>
        <w:ind w:left="117" w:right="115" w:firstLine="0"/>
        <w:jc w:val="both"/>
        <w:rPr>
          <w:rFonts w:ascii="Gulim" w:hAnsi="Gulim" w:eastAsia="Gulim"/>
          <w:sz w:val="24"/>
        </w:rPr>
      </w:pPr>
      <w:r>
        <w:rPr>
          <w:rFonts w:ascii="Gulim" w:hAnsi="Gulim" w:eastAsia="Gulim"/>
          <w:sz w:val="24"/>
        </w:rPr>
        <w:t>유리병의 경우 유리병의 원료로 사용되는 파유리의 사용량을 2006년부터 매년 </w:t>
      </w:r>
      <w:r>
        <w:rPr>
          <w:rFonts w:ascii="Gulim" w:hAnsi="Gulim" w:eastAsia="Gulim"/>
          <w:sz w:val="24"/>
        </w:rPr>
        <w:t>약 1</w:t>
      </w:r>
      <w:r>
        <w:rPr>
          <w:rFonts w:ascii="Cambria" w:hAnsi="Cambria" w:eastAsia="Cambria"/>
          <w:sz w:val="24"/>
        </w:rPr>
        <w:t>∼</w:t>
      </w:r>
      <w:r>
        <w:rPr>
          <w:rFonts w:ascii="Gulim" w:hAnsi="Gulim" w:eastAsia="Gulim"/>
          <w:sz w:val="24"/>
        </w:rPr>
        <w:t>2%씩 증가시켜 2010년 까지 91%까지 올려 유리병 재활용률을 70%까지 끌어 올리는 것을 목표로 하고 있다.</w:t>
      </w:r>
    </w:p>
    <w:p>
      <w:pPr>
        <w:spacing w:line="300" w:lineRule="auto" w:before="197"/>
        <w:ind w:left="117" w:right="115" w:firstLine="0"/>
        <w:jc w:val="both"/>
        <w:rPr>
          <w:rFonts w:ascii="Gulim" w:eastAsia="Gulim"/>
          <w:sz w:val="24"/>
        </w:rPr>
      </w:pPr>
      <w:r>
        <w:rPr>
          <w:rFonts w:ascii="Gulim" w:eastAsia="Gulim"/>
          <w:sz w:val="24"/>
        </w:rPr>
        <w:t>PET 병, 종이 용기, 음료용 종이 용기, 골판지에 대해서는 재활용율 보다는 </w:t>
      </w:r>
      <w:r>
        <w:rPr>
          <w:rFonts w:ascii="Gulim" w:eastAsia="Gulim"/>
          <w:sz w:val="24"/>
        </w:rPr>
        <w:t>회수</w:t>
      </w:r>
      <w:r>
        <w:rPr>
          <w:rFonts w:ascii="Gulim" w:eastAsia="Gulim"/>
          <w:spacing w:val="40"/>
          <w:sz w:val="24"/>
        </w:rPr>
        <w:t> </w:t>
      </w:r>
      <w:r>
        <w:rPr>
          <w:rFonts w:ascii="Gulim" w:eastAsia="Gulim"/>
          <w:sz w:val="24"/>
        </w:rPr>
        <w:t>율에</w:t>
      </w:r>
      <w:r>
        <w:rPr>
          <w:rFonts w:ascii="Gulim" w:eastAsia="Gulim"/>
          <w:spacing w:val="32"/>
          <w:sz w:val="24"/>
        </w:rPr>
        <w:t> </w:t>
      </w:r>
      <w:r>
        <w:rPr>
          <w:rFonts w:ascii="Gulim" w:eastAsia="Gulim"/>
          <w:sz w:val="24"/>
        </w:rPr>
        <w:t>중점을 두어</w:t>
      </w:r>
      <w:r>
        <w:rPr>
          <w:rFonts w:ascii="Gulim" w:eastAsia="Gulim"/>
          <w:spacing w:val="32"/>
          <w:sz w:val="24"/>
        </w:rPr>
        <w:t> </w:t>
      </w:r>
      <w:r>
        <w:rPr>
          <w:rFonts w:ascii="Gulim" w:eastAsia="Gulim"/>
          <w:sz w:val="24"/>
        </w:rPr>
        <w:t>2010년</w:t>
      </w:r>
      <w:r>
        <w:rPr>
          <w:rFonts w:ascii="Gulim" w:eastAsia="Gulim"/>
          <w:spacing w:val="32"/>
          <w:sz w:val="24"/>
        </w:rPr>
        <w:t> </w:t>
      </w:r>
      <w:r>
        <w:rPr>
          <w:rFonts w:ascii="Gulim" w:eastAsia="Gulim"/>
          <w:sz w:val="24"/>
        </w:rPr>
        <w:t>까지 각각</w:t>
      </w:r>
      <w:r>
        <w:rPr>
          <w:rFonts w:ascii="Gulim" w:eastAsia="Gulim"/>
          <w:spacing w:val="32"/>
          <w:sz w:val="24"/>
        </w:rPr>
        <w:t> </w:t>
      </w:r>
      <w:r>
        <w:rPr>
          <w:rFonts w:ascii="Gulim" w:eastAsia="Gulim"/>
          <w:sz w:val="24"/>
        </w:rPr>
        <w:t>20%, 50%,</w:t>
      </w:r>
      <w:r>
        <w:rPr>
          <w:rFonts w:ascii="Gulim" w:eastAsia="Gulim"/>
          <w:spacing w:val="33"/>
          <w:sz w:val="24"/>
        </w:rPr>
        <w:t> </w:t>
      </w:r>
      <w:r>
        <w:rPr>
          <w:rFonts w:ascii="Gulim" w:eastAsia="Gulim"/>
          <w:sz w:val="24"/>
        </w:rPr>
        <w:t>90% 이상을</w:t>
      </w:r>
      <w:r>
        <w:rPr>
          <w:rFonts w:ascii="Gulim" w:eastAsia="Gulim"/>
          <w:spacing w:val="32"/>
          <w:sz w:val="24"/>
        </w:rPr>
        <w:t> </w:t>
      </w:r>
      <w:r>
        <w:rPr>
          <w:rFonts w:ascii="Gulim" w:eastAsia="Gulim"/>
          <w:sz w:val="24"/>
        </w:rPr>
        <w:t>달성하도록</w:t>
      </w:r>
      <w:r>
        <w:rPr>
          <w:rFonts w:ascii="Gulim" w:eastAsia="Gulim"/>
          <w:spacing w:val="32"/>
          <w:sz w:val="24"/>
        </w:rPr>
        <w:t> </w:t>
      </w:r>
      <w:r>
        <w:rPr>
          <w:rFonts w:ascii="Gulim" w:eastAsia="Gulim"/>
          <w:sz w:val="24"/>
        </w:rPr>
        <w:t>하고 있 </w:t>
      </w:r>
      <w:r>
        <w:rPr>
          <w:rFonts w:ascii="Gulim" w:eastAsia="Gulim"/>
          <w:spacing w:val="-6"/>
          <w:sz w:val="24"/>
        </w:rPr>
        <w:t>다.</w:t>
      </w:r>
    </w:p>
    <w:p>
      <w:pPr>
        <w:spacing w:line="300" w:lineRule="auto" w:before="195"/>
        <w:ind w:left="117" w:right="115" w:firstLine="0"/>
        <w:jc w:val="both"/>
        <w:rPr>
          <w:rFonts w:ascii="Gulim" w:eastAsia="Gulim"/>
          <w:sz w:val="24"/>
        </w:rPr>
      </w:pPr>
      <w:r>
        <w:rPr>
          <w:rFonts w:ascii="Gulim" w:eastAsia="Gulim"/>
          <w:sz w:val="24"/>
        </w:rPr>
        <w:t>스틸캔과 알루미늄캔은 2010년 까지 재활용률을 각각 85%, 90% 이상 </w:t>
      </w:r>
      <w:r>
        <w:rPr>
          <w:rFonts w:ascii="Gulim" w:eastAsia="Gulim"/>
          <w:sz w:val="24"/>
        </w:rPr>
        <w:t>달성하고 플라스틱</w:t>
      </w:r>
      <w:r>
        <w:rPr>
          <w:rFonts w:ascii="Gulim" w:eastAsia="Gulim"/>
          <w:spacing w:val="40"/>
          <w:sz w:val="24"/>
        </w:rPr>
        <w:t> </w:t>
      </w:r>
      <w:r>
        <w:rPr>
          <w:rFonts w:ascii="Gulim" w:eastAsia="Gulim"/>
          <w:sz w:val="24"/>
        </w:rPr>
        <w:t>용기의</w:t>
      </w:r>
      <w:r>
        <w:rPr>
          <w:rFonts w:ascii="Gulim" w:eastAsia="Gulim"/>
          <w:spacing w:val="40"/>
          <w:sz w:val="24"/>
        </w:rPr>
        <w:t> </w:t>
      </w:r>
      <w:r>
        <w:rPr>
          <w:rFonts w:ascii="Gulim" w:eastAsia="Gulim"/>
          <w:sz w:val="24"/>
        </w:rPr>
        <w:t>경우</w:t>
      </w:r>
      <w:r>
        <w:rPr>
          <w:rFonts w:ascii="Gulim" w:eastAsia="Gulim"/>
          <w:spacing w:val="40"/>
          <w:sz w:val="24"/>
        </w:rPr>
        <w:t> </w:t>
      </w:r>
      <w:r>
        <w:rPr>
          <w:rFonts w:ascii="Gulim" w:eastAsia="Gulim"/>
          <w:sz w:val="24"/>
        </w:rPr>
        <w:t>수집</w:t>
      </w:r>
      <w:r>
        <w:rPr>
          <w:rFonts w:ascii="Gulim" w:eastAsia="Gulim"/>
          <w:spacing w:val="40"/>
          <w:sz w:val="24"/>
        </w:rPr>
        <w:t> </w:t>
      </w:r>
      <w:r>
        <w:rPr>
          <w:rFonts w:ascii="Gulim" w:eastAsia="Gulim"/>
          <w:sz w:val="24"/>
        </w:rPr>
        <w:t>율을</w:t>
      </w:r>
      <w:r>
        <w:rPr>
          <w:rFonts w:ascii="Gulim" w:eastAsia="Gulim"/>
          <w:spacing w:val="40"/>
          <w:sz w:val="24"/>
        </w:rPr>
        <w:t> </w:t>
      </w:r>
      <w:r>
        <w:rPr>
          <w:rFonts w:ascii="Gulim" w:eastAsia="Gulim"/>
          <w:sz w:val="24"/>
        </w:rPr>
        <w:t>75%</w:t>
      </w:r>
      <w:r>
        <w:rPr>
          <w:rFonts w:ascii="Gulim" w:eastAsia="Gulim"/>
          <w:spacing w:val="40"/>
          <w:sz w:val="24"/>
        </w:rPr>
        <w:t> </w:t>
      </w:r>
      <w:r>
        <w:rPr>
          <w:rFonts w:ascii="Gulim" w:eastAsia="Gulim"/>
          <w:sz w:val="24"/>
        </w:rPr>
        <w:t>이상</w:t>
      </w:r>
      <w:r>
        <w:rPr>
          <w:rFonts w:ascii="Gulim" w:eastAsia="Gulim"/>
          <w:spacing w:val="40"/>
          <w:sz w:val="24"/>
        </w:rPr>
        <w:t> </w:t>
      </w:r>
      <w:r>
        <w:rPr>
          <w:rFonts w:ascii="Gulim" w:eastAsia="Gulim"/>
          <w:sz w:val="24"/>
        </w:rPr>
        <w:t>달성하는</w:t>
      </w:r>
      <w:r>
        <w:rPr>
          <w:rFonts w:ascii="Gulim" w:eastAsia="Gulim"/>
          <w:spacing w:val="40"/>
          <w:sz w:val="24"/>
        </w:rPr>
        <w:t> </w:t>
      </w:r>
      <w:r>
        <w:rPr>
          <w:rFonts w:ascii="Gulim" w:eastAsia="Gulim"/>
          <w:sz w:val="24"/>
        </w:rPr>
        <w:t>것을</w:t>
      </w:r>
      <w:r>
        <w:rPr>
          <w:rFonts w:ascii="Gulim" w:eastAsia="Gulim"/>
          <w:spacing w:val="40"/>
          <w:sz w:val="24"/>
        </w:rPr>
        <w:t> </w:t>
      </w:r>
      <w:r>
        <w:rPr>
          <w:rFonts w:ascii="Gulim" w:eastAsia="Gulim"/>
          <w:sz w:val="24"/>
        </w:rPr>
        <w:t>목표로</w:t>
      </w:r>
      <w:r>
        <w:rPr>
          <w:rFonts w:ascii="Gulim" w:eastAsia="Gulim"/>
          <w:spacing w:val="40"/>
          <w:sz w:val="24"/>
        </w:rPr>
        <w:t> </w:t>
      </w:r>
      <w:r>
        <w:rPr>
          <w:rFonts w:ascii="Gulim" w:eastAsia="Gulim"/>
          <w:sz w:val="24"/>
        </w:rPr>
        <w:t>하고</w:t>
      </w:r>
      <w:r>
        <w:rPr>
          <w:rFonts w:ascii="Gulim" w:eastAsia="Gulim"/>
          <w:spacing w:val="40"/>
          <w:sz w:val="24"/>
        </w:rPr>
        <w:t> </w:t>
      </w:r>
      <w:r>
        <w:rPr>
          <w:rFonts w:ascii="Gulim" w:eastAsia="Gulim"/>
          <w:sz w:val="24"/>
        </w:rPr>
        <w:t>있다.</w:t>
      </w:r>
    </w:p>
    <w:sectPr>
      <w:pgSz w:w="11900" w:h="16820"/>
      <w:pgMar w:top="1600" w:bottom="280" w:left="1300" w:right="13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MS PGothic">
    <w:altName w:val="MS PGothic"/>
    <w:charset w:val="0"/>
    <w:family w:val="swiss"/>
    <w:pitch w:val="variable"/>
  </w:font>
  <w:font w:name="Dotum">
    <w:altName w:val="Dotum"/>
    <w:charset w:val="0"/>
    <w:family w:val="swiss"/>
    <w:pitch w:val="variable"/>
  </w:font>
  <w:font w:name="Gulim">
    <w:altName w:val="Gulim"/>
    <w:charset w:val="0"/>
    <w:family w:val="swiss"/>
    <w:pitch w:val="variable"/>
  </w:font>
  <w:font w:name="Book Antiqua">
    <w:altName w:val="Book Antiqua"/>
    <w:charset w:val="0"/>
    <w:family w:val="roman"/>
    <w:pitch w:val="variable"/>
  </w:font>
  <w:font w:name="Cambria">
    <w:altName w:val="Cambria"/>
    <w:charset w:val="0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Dotum" w:hAnsi="Dotum" w:eastAsia="Dotum" w:cs="Dotum"/>
      <w:lang w:val="en-US" w:eastAsia="ko-KR" w:bidi="ar-SA"/>
    </w:rPr>
  </w:style>
  <w:style w:styleId="BodyText" w:type="paragraph">
    <w:name w:val="Body Text"/>
    <w:basedOn w:val="Normal"/>
    <w:uiPriority w:val="1"/>
    <w:qFormat/>
    <w:pPr/>
    <w:rPr>
      <w:rFonts w:ascii="Dotum" w:hAnsi="Dotum" w:eastAsia="Dotum" w:cs="Dotum"/>
      <w:sz w:val="20"/>
      <w:szCs w:val="20"/>
      <w:lang w:val="en-US" w:eastAsia="ko-KR" w:bidi="ar-SA"/>
    </w:rPr>
  </w:style>
  <w:style w:styleId="ListParagraph" w:type="paragraph">
    <w:name w:val="List Paragraph"/>
    <w:basedOn w:val="Normal"/>
    <w:uiPriority w:val="1"/>
    <w:qFormat/>
    <w:pPr/>
    <w:rPr>
      <w:lang w:val="en-US" w:eastAsia="ko-KR" w:bidi="ar-SA"/>
    </w:rPr>
  </w:style>
  <w:style w:styleId="TableParagraph" w:type="paragraph">
    <w:name w:val="Table Paragraph"/>
    <w:basedOn w:val="Normal"/>
    <w:uiPriority w:val="1"/>
    <w:qFormat/>
    <w:pPr/>
    <w:rPr>
      <w:lang w:val="en-US" w:eastAsia="ko-KR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dc:title>에코순환패키징_재활용가이드라인_일본.hwp</dc:title>
  <dcterms:created xsi:type="dcterms:W3CDTF">2022-09-28T05:59:18Z</dcterms:created>
  <dcterms:modified xsi:type="dcterms:W3CDTF">2022-09-28T05:59:18Z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2014-02-27T00:00:00Z</vt:filetime>
  </property>
  <property fmtid="{D5CDD505-2E9C-101B-9397-08002B2CF9AE}" pid="3" name="Creator">
    <vt:lpwstr>Haansoft Hangul 2007 7, 5, 12, 644</vt:lpwstr>
  </property>
  <property fmtid="{D5CDD505-2E9C-101B-9397-08002B2CF9AE}" pid="4" name="LastSaved">
    <vt:filetime>2022-09-28T00:00:00Z</vt:filetime>
  </property>
</Properties>
</file>